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Supplementary File 1. Search Strategies, Study Selection, and Source-Level Evidence Chart</w:t>
      </w:r>
    </w:p>
    <w:p>
      <w:pPr>
        <w:jc w:val="center"/>
      </w:pPr>
      <w:r>
        <w:t>Manuscript: High-Flow Oxygen Therapy Delivered Through Tracheostomy: A Scoping Review of Physiology, Clinical Applications, Safety, and Pediatric Evidence Gaps</w:t>
      </w:r>
    </w:p>
    <w:p>
      <w:pPr>
        <w:jc w:val="center"/>
      </w:pPr>
      <w:r>
        <w:t>Protocol registration: Open Science Framework; registration DOI provided on the title page to preserve blinding. Searches last conducted June 30, 2026.</w:t>
      </w:r>
    </w:p>
    <w:p>
      <w:pPr>
        <w:pStyle w:val="Heading1"/>
      </w:pPr>
      <w:r>
        <w:rPr>
          <w:b/>
        </w:rPr>
        <w:t>A. Database Search Log</w:t>
      </w:r>
    </w:p>
    <w:tbl>
      <w:tblPr>
        <w:tblStyle w:val="TableGrid"/>
        <w:tblW w:type="auto" w:w="0"/>
        <w:jc w:val="center"/>
        <w:tblLook w:firstColumn="1" w:firstRow="1" w:lastColumn="0" w:lastRow="0" w:noHBand="0" w:noVBand="1" w:val="04A0"/>
      </w:tblPr>
      <w:tblGrid>
        <w:gridCol w:w="2556"/>
        <w:gridCol w:w="2556"/>
        <w:gridCol w:w="2556"/>
        <w:gridCol w:w="2556"/>
      </w:tblGrid>
      <w:tr>
        <w:trPr>
          <w:tblHeader w:val="true"/>
        </w:trPr>
        <w:tc>
          <w:tcPr>
            <w:tcW w:type="dxa" w:w="2556"/>
            <w:vAlign w:val="top"/>
            <w:shd w:fill="D9EAD3"/>
            <w:shd w:fill="D9EAF7"/>
          </w:tcPr>
          <w:p>
            <w:r>
              <w:rPr>
                <w:b/>
                <w:sz w:val="17"/>
              </w:rPr>
            </w:r>
            <w:r>
              <w:rPr>
                <w:b/>
                <w:sz w:val="17"/>
              </w:rPr>
              <w:t>Database</w:t>
            </w:r>
          </w:p>
        </w:tc>
        <w:tc>
          <w:tcPr>
            <w:tcW w:type="dxa" w:w="2556"/>
            <w:vAlign w:val="top"/>
            <w:shd w:fill="D9EAD3"/>
            <w:shd w:fill="D9EAF7"/>
          </w:tcPr>
          <w:p>
            <w:r>
              <w:rPr>
                <w:b/>
                <w:sz w:val="17"/>
              </w:rPr>
            </w:r>
            <w:r>
              <w:rPr>
                <w:b/>
                <w:sz w:val="17"/>
              </w:rPr>
              <w:t>Records exported</w:t>
            </w:r>
          </w:p>
        </w:tc>
        <w:tc>
          <w:tcPr>
            <w:tcW w:type="dxa" w:w="2556"/>
            <w:vAlign w:val="top"/>
            <w:shd w:fill="D9EAD3"/>
            <w:shd w:fill="D9EAF7"/>
          </w:tcPr>
          <w:p>
            <w:r>
              <w:rPr>
                <w:b/>
                <w:sz w:val="17"/>
              </w:rPr>
            </w:r>
            <w:r>
              <w:rPr>
                <w:b/>
                <w:sz w:val="17"/>
              </w:rPr>
              <w:t>Format</w:t>
            </w:r>
          </w:p>
        </w:tc>
        <w:tc>
          <w:tcPr>
            <w:tcW w:type="dxa" w:w="2556"/>
            <w:vAlign w:val="top"/>
            <w:shd w:fill="D9EAD3"/>
            <w:shd w:fill="D9EAF7"/>
          </w:tcPr>
          <w:p>
            <w:r>
              <w:rPr>
                <w:b/>
                <w:sz w:val="17"/>
              </w:rPr>
            </w:r>
            <w:r>
              <w:rPr>
                <w:b/>
                <w:sz w:val="17"/>
              </w:rPr>
              <w:t>Date searched</w:t>
            </w:r>
          </w:p>
        </w:tc>
      </w:tr>
      <w:tr>
        <w:tc>
          <w:tcPr>
            <w:tcW w:type="dxa" w:w="2556"/>
            <w:vAlign w:val="top"/>
          </w:tcPr>
          <w:p>
            <w:r>
              <w:rPr>
                <w:sz w:val="17"/>
              </w:rPr>
            </w:r>
            <w:r>
              <w:rPr>
                <w:b w:val="0"/>
                <w:sz w:val="17"/>
              </w:rPr>
              <w:t>MEDLINE/PubMed</w:t>
            </w:r>
          </w:p>
        </w:tc>
        <w:tc>
          <w:tcPr>
            <w:tcW w:type="dxa" w:w="2556"/>
            <w:vAlign w:val="top"/>
          </w:tcPr>
          <w:p>
            <w:r>
              <w:rPr>
                <w:sz w:val="17"/>
              </w:rPr>
            </w:r>
            <w:r>
              <w:rPr>
                <w:b w:val="0"/>
                <w:sz w:val="17"/>
              </w:rPr>
              <w:t>60</w:t>
            </w:r>
          </w:p>
        </w:tc>
        <w:tc>
          <w:tcPr>
            <w:tcW w:type="dxa" w:w="2556"/>
            <w:vAlign w:val="top"/>
          </w:tcPr>
          <w:p>
            <w:r>
              <w:rPr>
                <w:sz w:val="17"/>
              </w:rPr>
            </w:r>
            <w:r>
              <w:rPr>
                <w:b w:val="0"/>
                <w:sz w:val="17"/>
              </w:rPr>
              <w:t>NBIB export</w:t>
            </w:r>
          </w:p>
        </w:tc>
        <w:tc>
          <w:tcPr>
            <w:tcW w:type="dxa" w:w="2556"/>
            <w:vAlign w:val="top"/>
          </w:tcPr>
          <w:p>
            <w:r>
              <w:rPr>
                <w:sz w:val="17"/>
              </w:rPr>
            </w:r>
            <w:r>
              <w:rPr>
                <w:b w:val="0"/>
                <w:sz w:val="17"/>
              </w:rPr>
              <w:t>June 30, 2026</w:t>
            </w:r>
          </w:p>
        </w:tc>
      </w:tr>
      <w:tr>
        <w:tc>
          <w:tcPr>
            <w:tcW w:type="dxa" w:w="2556"/>
            <w:vAlign w:val="top"/>
          </w:tcPr>
          <w:p>
            <w:r>
              <w:rPr>
                <w:sz w:val="17"/>
              </w:rPr>
            </w:r>
            <w:r>
              <w:rPr>
                <w:b w:val="0"/>
                <w:sz w:val="17"/>
              </w:rPr>
              <w:t>Embase</w:t>
            </w:r>
          </w:p>
        </w:tc>
        <w:tc>
          <w:tcPr>
            <w:tcW w:type="dxa" w:w="2556"/>
            <w:vAlign w:val="top"/>
          </w:tcPr>
          <w:p>
            <w:r>
              <w:rPr>
                <w:sz w:val="17"/>
              </w:rPr>
            </w:r>
            <w:r>
              <w:rPr>
                <w:b w:val="0"/>
                <w:sz w:val="17"/>
              </w:rPr>
              <w:t>172</w:t>
            </w:r>
          </w:p>
        </w:tc>
        <w:tc>
          <w:tcPr>
            <w:tcW w:type="dxa" w:w="2556"/>
            <w:vAlign w:val="top"/>
          </w:tcPr>
          <w:p>
            <w:r>
              <w:rPr>
                <w:sz w:val="17"/>
              </w:rPr>
            </w:r>
            <w:r>
              <w:rPr>
                <w:b w:val="0"/>
                <w:sz w:val="17"/>
              </w:rPr>
              <w:t>RIS export</w:t>
            </w:r>
          </w:p>
        </w:tc>
        <w:tc>
          <w:tcPr>
            <w:tcW w:type="dxa" w:w="2556"/>
            <w:vAlign w:val="top"/>
          </w:tcPr>
          <w:p>
            <w:r>
              <w:rPr>
                <w:sz w:val="17"/>
              </w:rPr>
            </w:r>
            <w:r>
              <w:rPr>
                <w:b w:val="0"/>
                <w:sz w:val="17"/>
              </w:rPr>
              <w:t>June 30, 2026</w:t>
            </w:r>
          </w:p>
        </w:tc>
      </w:tr>
      <w:tr>
        <w:tc>
          <w:tcPr>
            <w:tcW w:type="dxa" w:w="2556"/>
            <w:vAlign w:val="top"/>
          </w:tcPr>
          <w:p>
            <w:r>
              <w:rPr>
                <w:sz w:val="17"/>
              </w:rPr>
            </w:r>
            <w:r>
              <w:rPr>
                <w:b w:val="0"/>
                <w:sz w:val="17"/>
              </w:rPr>
              <w:t>Scopus</w:t>
            </w:r>
          </w:p>
        </w:tc>
        <w:tc>
          <w:tcPr>
            <w:tcW w:type="dxa" w:w="2556"/>
            <w:vAlign w:val="top"/>
          </w:tcPr>
          <w:p>
            <w:r>
              <w:rPr>
                <w:sz w:val="17"/>
              </w:rPr>
            </w:r>
            <w:r>
              <w:rPr>
                <w:b w:val="0"/>
                <w:sz w:val="17"/>
              </w:rPr>
              <w:t>126</w:t>
            </w:r>
          </w:p>
        </w:tc>
        <w:tc>
          <w:tcPr>
            <w:tcW w:type="dxa" w:w="2556"/>
            <w:vAlign w:val="top"/>
          </w:tcPr>
          <w:p>
            <w:r>
              <w:rPr>
                <w:sz w:val="17"/>
              </w:rPr>
            </w:r>
            <w:r>
              <w:rPr>
                <w:b w:val="0"/>
                <w:sz w:val="17"/>
              </w:rPr>
              <w:t>RIS export</w:t>
            </w:r>
          </w:p>
        </w:tc>
        <w:tc>
          <w:tcPr>
            <w:tcW w:type="dxa" w:w="2556"/>
            <w:vAlign w:val="top"/>
          </w:tcPr>
          <w:p>
            <w:r>
              <w:rPr>
                <w:sz w:val="17"/>
              </w:rPr>
            </w:r>
            <w:r>
              <w:rPr>
                <w:b w:val="0"/>
                <w:sz w:val="17"/>
              </w:rPr>
              <w:t>June 30, 2026</w:t>
            </w:r>
          </w:p>
        </w:tc>
      </w:tr>
      <w:tr>
        <w:tc>
          <w:tcPr>
            <w:tcW w:type="dxa" w:w="2556"/>
            <w:vAlign w:val="top"/>
          </w:tcPr>
          <w:p>
            <w:r>
              <w:rPr>
                <w:sz w:val="17"/>
              </w:rPr>
            </w:r>
            <w:r>
              <w:rPr>
                <w:b w:val="0"/>
                <w:sz w:val="17"/>
              </w:rPr>
              <w:t>Web of Science</w:t>
            </w:r>
          </w:p>
        </w:tc>
        <w:tc>
          <w:tcPr>
            <w:tcW w:type="dxa" w:w="2556"/>
            <w:vAlign w:val="top"/>
          </w:tcPr>
          <w:p>
            <w:r>
              <w:rPr>
                <w:sz w:val="17"/>
              </w:rPr>
            </w:r>
            <w:r>
              <w:rPr>
                <w:b w:val="0"/>
                <w:sz w:val="17"/>
              </w:rPr>
              <w:t>101</w:t>
            </w:r>
          </w:p>
        </w:tc>
        <w:tc>
          <w:tcPr>
            <w:tcW w:type="dxa" w:w="2556"/>
            <w:vAlign w:val="top"/>
          </w:tcPr>
          <w:p>
            <w:r>
              <w:rPr>
                <w:sz w:val="17"/>
              </w:rPr>
            </w:r>
            <w:r>
              <w:rPr>
                <w:b w:val="0"/>
                <w:sz w:val="17"/>
              </w:rPr>
              <w:t>RIS export</w:t>
            </w:r>
          </w:p>
        </w:tc>
        <w:tc>
          <w:tcPr>
            <w:tcW w:type="dxa" w:w="2556"/>
            <w:vAlign w:val="top"/>
          </w:tcPr>
          <w:p>
            <w:r>
              <w:rPr>
                <w:sz w:val="17"/>
              </w:rPr>
            </w:r>
            <w:r>
              <w:rPr>
                <w:b w:val="0"/>
                <w:sz w:val="17"/>
              </w:rPr>
              <w:t>June 30, 2026</w:t>
            </w:r>
          </w:p>
        </w:tc>
      </w:tr>
      <w:tr>
        <w:tc>
          <w:tcPr>
            <w:tcW w:type="dxa" w:w="2556"/>
            <w:vAlign w:val="top"/>
          </w:tcPr>
          <w:p>
            <w:r>
              <w:rPr>
                <w:sz w:val="17"/>
              </w:rPr>
            </w:r>
            <w:r>
              <w:rPr>
                <w:b w:val="0"/>
                <w:sz w:val="17"/>
              </w:rPr>
              <w:t>CINAHL</w:t>
            </w:r>
          </w:p>
        </w:tc>
        <w:tc>
          <w:tcPr>
            <w:tcW w:type="dxa" w:w="2556"/>
            <w:vAlign w:val="top"/>
          </w:tcPr>
          <w:p>
            <w:r>
              <w:rPr>
                <w:sz w:val="17"/>
              </w:rPr>
            </w:r>
            <w:r>
              <w:rPr>
                <w:b w:val="0"/>
                <w:sz w:val="17"/>
              </w:rPr>
              <w:t>28</w:t>
            </w:r>
          </w:p>
        </w:tc>
        <w:tc>
          <w:tcPr>
            <w:tcW w:type="dxa" w:w="2556"/>
            <w:vAlign w:val="top"/>
          </w:tcPr>
          <w:p>
            <w:r>
              <w:rPr>
                <w:sz w:val="17"/>
              </w:rPr>
            </w:r>
            <w:r>
              <w:rPr>
                <w:b w:val="0"/>
                <w:sz w:val="17"/>
              </w:rPr>
              <w:t>CSV export</w:t>
            </w:r>
          </w:p>
        </w:tc>
        <w:tc>
          <w:tcPr>
            <w:tcW w:type="dxa" w:w="2556"/>
            <w:vAlign w:val="top"/>
          </w:tcPr>
          <w:p>
            <w:r>
              <w:rPr>
                <w:sz w:val="17"/>
              </w:rPr>
            </w:r>
            <w:r>
              <w:rPr>
                <w:b w:val="0"/>
                <w:sz w:val="17"/>
              </w:rPr>
              <w:t>June 30, 2026</w:t>
            </w:r>
          </w:p>
        </w:tc>
      </w:tr>
      <w:tr>
        <w:tc>
          <w:tcPr>
            <w:tcW w:type="dxa" w:w="2556"/>
            <w:vAlign w:val="top"/>
          </w:tcPr>
          <w:p>
            <w:r>
              <w:rPr>
                <w:sz w:val="17"/>
              </w:rPr>
            </w:r>
            <w:r>
              <w:rPr>
                <w:b w:val="0"/>
                <w:sz w:val="17"/>
              </w:rPr>
              <w:t>Total</w:t>
            </w:r>
          </w:p>
        </w:tc>
        <w:tc>
          <w:tcPr>
            <w:tcW w:type="dxa" w:w="2556"/>
            <w:vAlign w:val="top"/>
          </w:tcPr>
          <w:p>
            <w:r>
              <w:rPr>
                <w:sz w:val="17"/>
              </w:rPr>
            </w:r>
            <w:r>
              <w:rPr>
                <w:b w:val="0"/>
                <w:sz w:val="17"/>
              </w:rPr>
              <w:t>487</w:t>
            </w:r>
          </w:p>
        </w:tc>
        <w:tc>
          <w:tcPr>
            <w:tcW w:type="dxa" w:w="2556"/>
            <w:vAlign w:val="top"/>
          </w:tcPr>
          <w:p>
            <w:r>
              <w:rPr>
                <w:sz w:val="17"/>
              </w:rPr>
            </w:r>
            <w:r>
              <w:rPr>
                <w:b w:val="0"/>
                <w:sz w:val="17"/>
              </w:rPr>
              <w:t>All exports merged</w:t>
            </w:r>
          </w:p>
        </w:tc>
        <w:tc>
          <w:tcPr>
            <w:tcW w:type="dxa" w:w="2556"/>
            <w:vAlign w:val="top"/>
          </w:tcPr>
          <w:p>
            <w:r>
              <w:rPr>
                <w:sz w:val="17"/>
              </w:rPr>
            </w:r>
            <w:r>
              <w:rPr>
                <w:b w:val="0"/>
                <w:sz w:val="17"/>
              </w:rPr>
              <w:t>June 30, 2026</w:t>
            </w:r>
          </w:p>
        </w:tc>
      </w:tr>
    </w:tbl>
    <w:p>
      <w:pPr>
        <w:pStyle w:val="Heading1"/>
      </w:pPr>
      <w:r>
        <w:rPr>
          <w:b/>
        </w:rPr>
        <w:t>B. PubMed Search Strategy</w:t>
      </w:r>
    </w:p>
    <w:p>
      <w:r>
        <w:t>("Tracheostomy"[Mesh] OR tracheostom* OR "tracheostomy tube" OR "tracheal cannula" OR "trach tube") AND ("high-flow oxygen" OR "high flow oxygen" OR "high-flow tracheal oxygen" OR HFTO OR HFT OR HFOT OR "heated humidified high flow" OR "high-flow therapy" OR Optiflow OR Airvo)</w:t>
      </w:r>
    </w:p>
    <w:p>
      <w:pPr>
        <w:pStyle w:val="Heading1"/>
      </w:pPr>
      <w:r>
        <w:t>C. Database-Specific Search Strategies</w:t>
      </w:r>
    </w:p>
    <w:p>
      <w:pPr/>
      <w:r>
        <w:t>Reproducibility note: The PubMed query above is reproduced verbatim from the archived query text. For Embase, Scopus, Web of Science, and CINAHL, platform query-history exports were not preserved; the executable syntax below was reconstructed from archived term and field documentation. The reconstructed non-PubMed strategies include database-specific documented adaptations, including tracheotom* and both hyphenated and nonhyphenated forms of high-flow tracheal oxygen, and therefore are not presented as literal translations of the PubMed string. PubMed used the MeSH term "Tracheostomy"; the non-PubMed searches used the documented text-word, keyword, topic, or subject fields rather than an additional controlled-vocabulary expansion. Because the original platform histories were not retained, exact reproduction of the historical result counts cannot be independently confirmed from the archive alone; the preserved June 30, 2026 export counts are reported separately in Section A.</w:t>
      </w:r>
    </w:p>
    <w:tbl>
      <w:tblPr>
        <w:tblStyle w:val="TableGrid"/>
        <w:tblW w:type="auto" w:w="0"/>
        <w:jc w:val="center"/>
        <w:tblLook w:firstColumn="1" w:firstRow="1" w:lastColumn="0" w:lastRow="0" w:noHBand="0" w:noVBand="1" w:val="04A0"/>
      </w:tblPr>
      <w:tblGrid>
        <w:gridCol w:w="3408"/>
        <w:gridCol w:w="3408"/>
        <w:gridCol w:w="3408"/>
      </w:tblGrid>
      <w:tr>
        <w:trPr>
          <w:tblHeader w:val="true"/>
        </w:trPr>
        <w:tc>
          <w:tcPr>
            <w:tcW w:type="dxa" w:w="3408"/>
            <w:vAlign w:val="top"/>
            <w:shd w:fill="D9EAD3"/>
            <w:shd w:fill="D9EAF7"/>
          </w:tcPr>
          <w:p>
            <w:r>
              <w:rPr>
                <w:b/>
              </w:rPr>
              <w:t>Database</w:t>
            </w:r>
          </w:p>
        </w:tc>
        <w:tc>
          <w:tcPr>
            <w:tcW w:type="dxa" w:w="3408"/>
            <w:vAlign w:val="top"/>
            <w:shd w:fill="D9EAD3"/>
            <w:shd w:fill="D9EAF7"/>
          </w:tcPr>
          <w:p>
            <w:r>
              <w:rPr>
                <w:b/>
              </w:rPr>
              <w:t>Line-by-line executable strategy</w:t>
            </w:r>
          </w:p>
        </w:tc>
        <w:tc>
          <w:tcPr>
            <w:tcW w:type="dxa" w:w="3408"/>
            <w:vAlign w:val="top"/>
            <w:shd w:fill="D9EAD3"/>
            <w:shd w:fill="D9EAF7"/>
          </w:tcPr>
          <w:p>
            <w:r>
              <w:rPr>
                <w:b/>
              </w:rPr>
              <w:t>Field / vocabulary notes</w:t>
            </w:r>
          </w:p>
        </w:tc>
      </w:tr>
      <w:tr>
        <w:tc>
          <w:tcPr>
            <w:tcW w:type="dxa" w:w="3408"/>
            <w:vAlign w:val="top"/>
          </w:tcPr>
          <w:p>
            <w:r>
              <w:rPr>
                <w:sz w:val="17"/>
              </w:rPr>
              <w:t>Embase</w:t>
            </w:r>
          </w:p>
        </w:tc>
        <w:tc>
          <w:tcPr>
            <w:tcW w:type="dxa" w:w="3408"/>
            <w:vAlign w:val="top"/>
          </w:tcPr>
          <w:p>
            <w:r>
              <w:rPr>
                <w:rFonts w:ascii="Courier New" w:hAnsi="Courier New" w:eastAsia="Courier New"/>
                <w:sz w:val="16"/>
              </w:rPr>
              <w:t>1. tracheostom*:ti,ab,kw OR tracheotom*:ti,ab,kw OR 'tracheostomy tube':ti,ab,kw OR 'tracheal cannula':ti,ab,kw OR 'trach tube':ti,ab,kw</w:t>
              <w:br/>
              <w:t>2. 'high-flow tracheal oxygen':ti,ab,kw OR 'high flow tracheal oxygen':ti,ab,kw OR 'high-flow oxygen':ti,ab,kw OR 'high flow oxygen':ti,ab,kw OR HFTO:ti,ab,kw OR HFT:ti,ab,kw OR HFOT:ti,ab,kw OR 'heated humidified high flow':ti,ab,kw OR 'high-flow therapy':ti,ab,kw OR Optiflow:ti,ab,kw OR Airvo:ti,ab,kw</w:t>
              <w:br/>
              <w:t>3. #1 AND #2</w:t>
            </w:r>
          </w:p>
        </w:tc>
        <w:tc>
          <w:tcPr>
            <w:tcW w:type="dxa" w:w="3408"/>
            <w:vAlign w:val="top"/>
          </w:tcPr>
          <w:p>
            <w:r>
              <w:rPr>
                <w:sz w:val="17"/>
              </w:rPr>
              <w:t>Fields: title, abstract, keywords (ti,ab,kw). No additional controlled-vocabulary expansion documented.</w:t>
            </w:r>
          </w:p>
        </w:tc>
      </w:tr>
      <w:tr>
        <w:tc>
          <w:tcPr>
            <w:tcW w:type="dxa" w:w="3408"/>
            <w:vAlign w:val="top"/>
          </w:tcPr>
          <w:p>
            <w:r>
              <w:rPr>
                <w:sz w:val="17"/>
              </w:rPr>
              <w:t>Scopus</w:t>
            </w:r>
          </w:p>
        </w:tc>
        <w:tc>
          <w:tcPr>
            <w:tcW w:type="dxa" w:w="3408"/>
            <w:vAlign w:val="top"/>
          </w:tcPr>
          <w:p>
            <w:r>
              <w:rPr>
                <w:rFonts w:ascii="Courier New" w:hAnsi="Courier New" w:eastAsia="Courier New"/>
                <w:sz w:val="16"/>
              </w:rPr>
              <w:t>1. TITLE-ABS-KEY(tracheostom* OR tracheotom* OR "tracheostomy tube" OR "tracheal cannula" OR "trach tube")</w:t>
              <w:br/>
              <w:t>2. TITLE-ABS-KEY("high-flow tracheal oxygen" OR "high flow tracheal oxygen" OR "high-flow oxygen" OR "high flow oxygen" OR HFTO OR HFT OR HFOT OR "heated humidified high flow" OR "high-flow therapy" OR Optiflow OR Airvo)</w:t>
              <w:br/>
              <w:t>3. #1 AND #2</w:t>
            </w:r>
          </w:p>
        </w:tc>
        <w:tc>
          <w:tcPr>
            <w:tcW w:type="dxa" w:w="3408"/>
            <w:vAlign w:val="top"/>
          </w:tcPr>
          <w:p>
            <w:r>
              <w:rPr>
                <w:sz w:val="17"/>
              </w:rPr>
              <w:t>Fields: TITLE-ABS-KEY. Scopus has no database thesaurus used in this search.</w:t>
            </w:r>
          </w:p>
        </w:tc>
      </w:tr>
      <w:tr>
        <w:tc>
          <w:tcPr>
            <w:tcW w:type="dxa" w:w="3408"/>
            <w:vAlign w:val="top"/>
          </w:tcPr>
          <w:p>
            <w:r>
              <w:rPr>
                <w:sz w:val="17"/>
              </w:rPr>
              <w:t>Web of Science</w:t>
            </w:r>
          </w:p>
        </w:tc>
        <w:tc>
          <w:tcPr>
            <w:tcW w:type="dxa" w:w="3408"/>
            <w:vAlign w:val="top"/>
          </w:tcPr>
          <w:p>
            <w:r>
              <w:rPr>
                <w:rFonts w:ascii="Courier New" w:hAnsi="Courier New" w:eastAsia="Courier New"/>
                <w:sz w:val="16"/>
              </w:rPr>
              <w:t>1. TS=(tracheostom* OR tracheotom* OR "tracheostomy tube" OR "tracheal cannula" OR "trach tube")</w:t>
              <w:br/>
              <w:t>2. TS=("high-flow tracheal oxygen" OR "high flow tracheal oxygen" OR "high-flow oxygen" OR "high flow oxygen" OR HFTO OR HFT OR HFOT OR "heated humidified high flow" OR "high-flow therapy" OR Optiflow OR Airvo)</w:t>
              <w:br/>
              <w:t>3. #1 AND #2</w:t>
            </w:r>
          </w:p>
        </w:tc>
        <w:tc>
          <w:tcPr>
            <w:tcW w:type="dxa" w:w="3408"/>
            <w:vAlign w:val="top"/>
          </w:tcPr>
          <w:p>
            <w:r>
              <w:rPr>
                <w:sz w:val="17"/>
              </w:rPr>
              <w:t>Field: Topic (TS). No controlled-vocabulary field is available in the Core Collection search used here.</w:t>
            </w:r>
          </w:p>
        </w:tc>
      </w:tr>
      <w:tr>
        <w:tc>
          <w:tcPr>
            <w:tcW w:type="dxa" w:w="3408"/>
            <w:vAlign w:val="top"/>
          </w:tcPr>
          <w:p>
            <w:r>
              <w:rPr>
                <w:sz w:val="17"/>
              </w:rPr>
              <w:t>CINAHL</w:t>
            </w:r>
          </w:p>
        </w:tc>
        <w:tc>
          <w:tcPr>
            <w:tcW w:type="dxa" w:w="3408"/>
            <w:vAlign w:val="top"/>
          </w:tcPr>
          <w:p>
            <w:r>
              <w:rPr>
                <w:rFonts w:ascii="Courier New" w:hAnsi="Courier New" w:eastAsia="Courier New"/>
                <w:sz w:val="16"/>
              </w:rPr>
              <w:t>S1. TI (tracheostom* OR tracheotom* OR "tracheostomy tube" OR "tracheal cannula" OR "trach tube") OR AB (tracheostom* OR tracheotom* OR "tracheostomy tube" OR "tracheal cannula" OR "trach tube") OR SU (tracheostom* OR tracheotom* OR "tracheostomy tube" OR "tracheal cannula" OR "trach tube")</w:t>
              <w:br/>
              <w:t>S2. TI ("high-flow tracheal oxygen" OR "high flow tracheal oxygen" OR "high-flow oxygen" OR "high flow oxygen" OR HFTO OR HFT OR HFOT OR "heated humidified high flow" OR "high-flow therapy" OR Optiflow OR Airvo) OR AB ("high-flow tracheal oxygen" OR "high flow tracheal oxygen" OR "high-flow oxygen" OR "high flow oxygen" OR HFTO OR HFT OR HFOT OR "heated humidified high flow" OR "high-flow therapy" OR Optiflow OR Airvo) OR SU ("high-flow tracheal oxygen" OR "high flow tracheal oxygen" OR "high-flow oxygen" OR "high flow oxygen" OR HFTO OR HFT OR HFOT OR "heated humidified high flow" OR "high-flow therapy" OR Optiflow OR Airvo)</w:t>
              <w:br/>
              <w:t>S3. S1 AND S2</w:t>
            </w:r>
          </w:p>
        </w:tc>
        <w:tc>
          <w:tcPr>
            <w:tcW w:type="dxa" w:w="3408"/>
            <w:vAlign w:val="top"/>
          </w:tcPr>
          <w:p>
            <w:r>
              <w:rPr>
                <w:sz w:val="17"/>
              </w:rPr>
              <w:t>Fields: title (TI), abstract (AB), and subject (SU). No separate CINAHL-heading expansion was documented.</w:t>
            </w:r>
          </w:p>
        </w:tc>
      </w:tr>
    </w:tbl>
    <w:p>
      <w:pPr>
        <w:pStyle w:val="Heading1"/>
      </w:pPr>
      <w:r>
        <w:rPr>
          <w:b/>
        </w:rPr>
        <w:t>D. Eligibility Criteria</w:t>
      </w:r>
    </w:p>
    <w:p>
      <w:r>
        <w:t>Eligible sources described high-flow oxygen, heated humidified high-flow therapy, or high-flow tracheal oxygen delivered directly through a tracheostomy tube or related interface. Adult and pediatric physiologic/clinical studies, implementation or quality-improvement reports, bench/simulation studies, technical reports, relevant reviews, eligible conference abstracts, and trial/protocol records were considered. Case-based clinical evidence required at least two patients; conference abstracts required an extractable population, HFTO exposure, and at least one relevant outcome. Trial/protocol records were retained only to map active research activity and were not treated as completed effectiveness or safety evidence.</w:t>
      </w:r>
    </w:p>
    <w:p>
      <w:r>
        <w:t>Sources were excluded when they addressed nasal high-flow only, conventional low-flow tracheostomy oxygen, intraoperative/apneic oxygenation without relevance to tracheostomy HFTO, animal-only work without a clinical/device-relevant mechanistic contribution, or lacked sufficient HFTO-specific information or outcomes. Duplicate, companion, or superseded reports without unique extractable data were not counted as separate sources.</w:t>
      </w:r>
    </w:p>
    <w:p>
      <w:pPr>
        <w:pStyle w:val="Heading1"/>
      </w:pPr>
      <w:r>
        <w:rPr>
          <w:b/>
        </w:rPr>
        <w:t>E. Screening Management and PRISMA Verification</w:t>
      </w:r>
    </w:p>
    <w:p>
      <w:r>
        <w:t>Records exported from the five databases were merged, deduplicated, and tracked in a custom Microsoft Excel screening workbook. No dedicated systematic-review management platform such as Covidence or Rayyan was used. The archived workbook contains fields for reviewer decisions, conflict resolution, final eligibility, exclusion reason, full-text status, and notes. The exact Microsoft Excel build/version was not preserved in the archived file. One reviewer performed initial title/abstract and full-text decisions, and a second reviewer rechecked every record-level decision at both stages. This was complete sequential verification rather than independent parallel duplicate screening.</w:t>
      </w:r>
    </w:p>
    <w:p>
      <w:r>
        <w:t>For the revision, the archived master screening set was re-audited against the final included-source set to verify the PRISMA flow and full-text exclusion categories. Final counts were: 487 records identified; 168 duplicates removed; 319 records screened; 185 title/abstract exclusions; 134 full texts or complete trial/protocol records assessed; 99 excluded; and 35 sources included (32 completed and 3 ongoing trial/protocol records). All 487 records were retrieved from the five databases listed in Section A, and the three ongoing trial/protocol records were identified within those database exports. A separate systematic clinical-trial-registry search was not prespecified in the original search strategy and was not added post hoc after screening; consequently, the mapped research pipeline may be incomplete.</w:t>
      </w:r>
    </w:p>
    <w:p>
      <w:pPr>
        <w:pStyle w:val="ListBullet"/>
      </w:pPr>
      <w:r>
        <w:t>No tracheostomy-delivered HFTO or ineligible delivery route: n = 64</w:t>
      </w:r>
    </w:p>
    <w:p>
      <w:pPr>
        <w:pStyle w:val="ListBullet"/>
      </w:pPr>
      <w:r>
        <w:t>Insufficient HFTO-specific information or no unique extractable data: n = 20</w:t>
      </w:r>
    </w:p>
    <w:p>
      <w:pPr>
        <w:pStyle w:val="ListBullet"/>
      </w:pPr>
      <w:r>
        <w:t>Duplicate/companion/superseded report: n = 10</w:t>
      </w:r>
    </w:p>
    <w:p>
      <w:pPr>
        <w:pStyle w:val="ListBullet"/>
      </w:pPr>
      <w:r>
        <w:t>Intraoperative/apneic oxygenation outside scope: n = 4</w:t>
      </w:r>
    </w:p>
    <w:p>
      <w:pPr>
        <w:pStyle w:val="ListBullet"/>
      </w:pPr>
      <w:r>
        <w:t>Animal-only evidence without relevant clinical/device applicability: n = 1</w:t>
      </w:r>
    </w:p>
    <w:p>
      <w:pPr>
        <w:pStyle w:val="Heading1"/>
      </w:pPr>
      <w:r>
        <w:rPr>
          <w:b/>
        </w:rPr>
        <w:t>F. Data Extraction Fields</w:t>
      </w:r>
    </w:p>
    <w:p>
      <w:pPr>
        <w:pStyle w:val="ListBullet"/>
      </w:pPr>
      <w:r>
        <w:t>Author, year, and country</w:t>
      </w:r>
    </w:p>
    <w:p>
      <w:pPr>
        <w:pStyle w:val="ListBullet"/>
      </w:pPr>
      <w:r>
        <w:t>Publication type and study design</w:t>
      </w:r>
    </w:p>
    <w:p>
      <w:pPr>
        <w:pStyle w:val="ListBullet"/>
      </w:pPr>
      <w:r>
        <w:t>Population/model and age group</w:t>
      </w:r>
    </w:p>
    <w:p>
      <w:pPr>
        <w:pStyle w:val="ListBullet"/>
      </w:pPr>
      <w:r>
        <w:t>Clinical setting and HFTO indication</w:t>
      </w:r>
    </w:p>
    <w:p>
      <w:pPr>
        <w:pStyle w:val="ListBullet"/>
      </w:pPr>
      <w:r>
        <w:t>Device/high-flow system and tracheostomy interface</w:t>
      </w:r>
    </w:p>
    <w:p>
      <w:pPr>
        <w:pStyle w:val="ListBullet"/>
      </w:pPr>
      <w:r>
        <w:t>Tracheostomy tube size and cuff status when reported</w:t>
      </w:r>
    </w:p>
    <w:p>
      <w:pPr>
        <w:pStyle w:val="ListBullet"/>
      </w:pPr>
      <w:r>
        <w:t>Speaking-valve configuration and expiratory route</w:t>
      </w:r>
    </w:p>
    <w:p>
      <w:pPr>
        <w:pStyle w:val="ListBullet"/>
      </w:pPr>
      <w:r>
        <w:t>Flow and FiO2 settings</w:t>
      </w:r>
    </w:p>
    <w:p>
      <w:pPr>
        <w:pStyle w:val="ListBullet"/>
      </w:pPr>
      <w:r>
        <w:t>Temperature/humidification</w:t>
      </w:r>
    </w:p>
    <w:p>
      <w:pPr>
        <w:pStyle w:val="ListBullet"/>
      </w:pPr>
      <w:r>
        <w:t>Comparator</w:t>
      </w:r>
    </w:p>
    <w:p>
      <w:pPr>
        <w:pStyle w:val="ListBullet"/>
      </w:pPr>
      <w:r>
        <w:t>Physiologic and clinical outcomes</w:t>
      </w:r>
    </w:p>
    <w:p>
      <w:pPr>
        <w:pStyle w:val="ListBullet"/>
      </w:pPr>
      <w:r>
        <w:t>Weaning/decannulation outcomes</w:t>
      </w:r>
    </w:p>
    <w:p>
      <w:pPr>
        <w:pStyle w:val="ListBullet"/>
      </w:pPr>
      <w:r>
        <w:t>Secretion/humidification outcomes</w:t>
      </w:r>
    </w:p>
    <w:p>
      <w:pPr>
        <w:pStyle w:val="ListBullet"/>
      </w:pPr>
      <w:r>
        <w:t>Safety/adverse events, tolerance, and monitoring</w:t>
      </w:r>
    </w:p>
    <w:p>
      <w:pPr>
        <w:pStyle w:val="ListBullet"/>
      </w:pPr>
      <w:r>
        <w:t>Pediatric relevance</w:t>
      </w:r>
    </w:p>
    <w:p>
      <w:pPr>
        <w:pStyle w:val="ListBullet"/>
      </w:pPr>
      <w:r>
        <w:t>Review decision and evidence domain</w:t>
      </w:r>
    </w:p>
    <w:p>
      <w:pPr/>
      <w:r>
        <w:t>Charting verification: one reviewer performed the initial data charting and a second reviewer rechecked every extracted field against the source, confirming or correcting the entry. This was complete sequential verification rather than independent duplicate extraction. No separate formal pilot of the charting form was documented in the archived methods materials.</w:t>
      </w:r>
    </w:p>
    <w:p>
      <w:pPr>
        <w:pStyle w:val="Heading1"/>
      </w:pPr>
      <w:r>
        <w:rPr>
          <w:b/>
        </w:rPr>
        <w:t>G. Final Literature Update</w:t>
      </w:r>
    </w:p>
    <w:p>
      <w:r>
        <w:t>The final literature update incorporated the 2026 pediatric infant/toddler aerosol-delivery simulation, the full Musso et al. 2026 physiologic article, and the prior Neiva et al. 2021 scoping review. All three records were already contained within the June 30, 2026 database exports and therefore within the 487 records shown in the PRISMA flow. Section G reflects final source updating and extraction within the prespecified database set; no post-search records were added from other sources.</w:t>
      </w:r>
    </w:p>
    <w:tbl>
      <w:tblPr>
        <w:tblW w:type="auto" w:w="0"/>
        <w:jc w:val="center"/>
        <w:tblLook w:firstColumn="1" w:firstRow="1" w:lastColumn="0" w:lastRow="0" w:noHBand="0" w:noVBand="1" w:val="04A0"/>
      </w:tblPr>
      <w:tblGrid>
        <w:gridCol w:w="2484"/>
        <w:gridCol w:w="2484"/>
        <w:gridCol w:w="2484"/>
        <w:gridCol w:w="2484"/>
      </w:tblGrid>
      <w:tr>
        <w:trPr>
          <w:tblHeader w:val="true"/>
        </w:trPr>
        <w:tc>
          <w:tcPr>
            <w:tcW w:type="dxa" w:w="2484"/>
            <w:vAlign w:val="top"/>
            <w:shd w:fill="D9EAF7"/>
          </w:tcPr>
          <w:p>
            <w:r>
              <w:rPr>
                <w:b/>
                <w:sz w:val="17"/>
              </w:rPr>
              <w:t>New/updated record</w:t>
            </w:r>
          </w:p>
        </w:tc>
        <w:tc>
          <w:tcPr>
            <w:tcW w:type="dxa" w:w="2484"/>
            <w:vAlign w:val="top"/>
            <w:shd w:fill="D9EAF7"/>
          </w:tcPr>
          <w:p>
            <w:r>
              <w:rPr>
                <w:b/>
                <w:sz w:val="17"/>
              </w:rPr>
              <w:t>Design/source</w:t>
            </w:r>
          </w:p>
        </w:tc>
        <w:tc>
          <w:tcPr>
            <w:tcW w:type="dxa" w:w="2484"/>
            <w:vAlign w:val="top"/>
            <w:shd w:fill="D9EAF7"/>
          </w:tcPr>
          <w:p>
            <w:r>
              <w:rPr>
                <w:b/>
                <w:sz w:val="17"/>
              </w:rPr>
              <w:t>Key extraction point</w:t>
            </w:r>
          </w:p>
        </w:tc>
        <w:tc>
          <w:tcPr>
            <w:tcW w:type="dxa" w:w="2484"/>
            <w:vAlign w:val="top"/>
            <w:shd w:fill="D9EAF7"/>
          </w:tcPr>
          <w:p>
            <w:r>
              <w:rPr>
                <w:b/>
                <w:sz w:val="17"/>
              </w:rPr>
              <w:t>Use in present review</w:t>
            </w:r>
          </w:p>
        </w:tc>
      </w:tr>
      <w:tr>
        <w:tc>
          <w:tcPr>
            <w:tcW w:type="dxa" w:w="2484"/>
            <w:vAlign w:val="top"/>
          </w:tcPr>
          <w:p>
            <w:r>
              <w:rPr>
                <w:sz w:val="17"/>
              </w:rPr>
              <w:t>Albuainain, Man, Li 2026</w:t>
            </w:r>
          </w:p>
        </w:tc>
        <w:tc>
          <w:tcPr>
            <w:tcW w:type="dxa" w:w="2484"/>
            <w:vAlign w:val="top"/>
          </w:tcPr>
          <w:p>
            <w:r>
              <w:rPr>
                <w:sz w:val="17"/>
              </w:rPr>
              <w:t>Bench/simulation short report</w:t>
            </w:r>
          </w:p>
        </w:tc>
        <w:tc>
          <w:tcPr>
            <w:tcW w:type="dxa" w:w="2484"/>
            <w:vAlign w:val="top"/>
          </w:tcPr>
          <w:p>
            <w:r>
              <w:rPr>
                <w:sz w:val="17"/>
              </w:rPr>
              <w:t>Infant and toddler tracheostomy models; aerosol delivery decreased as HFT flow increased; Optiflow and Airvo 2 were similar at comparable toddler flows.</w:t>
            </w:r>
          </w:p>
        </w:tc>
        <w:tc>
          <w:tcPr>
            <w:tcW w:type="dxa" w:w="2484"/>
            <w:vAlign w:val="top"/>
          </w:tcPr>
          <w:p>
            <w:r>
              <w:rPr>
                <w:sz w:val="17"/>
              </w:rPr>
              <w:t>Include as pediatric simulation/model evidence and aerosol-delivery implementation evidence.</w:t>
            </w:r>
          </w:p>
        </w:tc>
      </w:tr>
      <w:tr>
        <w:tc>
          <w:tcPr>
            <w:tcW w:type="dxa" w:w="2484"/>
            <w:vAlign w:val="top"/>
          </w:tcPr>
          <w:p>
            <w:r>
              <w:rPr>
                <w:sz w:val="17"/>
              </w:rPr>
              <w:t>Musso et al. 2026</w:t>
            </w:r>
          </w:p>
        </w:tc>
        <w:tc>
          <w:tcPr>
            <w:tcW w:type="dxa" w:w="2484"/>
            <w:vAlign w:val="top"/>
          </w:tcPr>
          <w:p>
            <w:r>
              <w:rPr>
                <w:sz w:val="17"/>
              </w:rPr>
              <w:t>Prospective physiological crossover study</w:t>
            </w:r>
          </w:p>
        </w:tc>
        <w:tc>
          <w:tcPr>
            <w:tcW w:type="dxa" w:w="2484"/>
            <w:vAlign w:val="top"/>
          </w:tcPr>
          <w:p>
            <w:r>
              <w:rPr>
                <w:sz w:val="17"/>
              </w:rPr>
              <w:t>Eleven adult tracheostomized subjects after ventilator liberation; HFTO 70-80 L/min modestly increased EELI without changing oxygenation, breathing frequency, hemodynamics, or tolerance.</w:t>
            </w:r>
          </w:p>
        </w:tc>
        <w:tc>
          <w:tcPr>
            <w:tcW w:type="dxa" w:w="2484"/>
            <w:vAlign w:val="top"/>
          </w:tcPr>
          <w:p>
            <w:r>
              <w:rPr>
                <w:sz w:val="17"/>
              </w:rPr>
              <w:t>Include as adult physiology evidence; updates prior abstract-only extraction.</w:t>
            </w:r>
          </w:p>
        </w:tc>
      </w:tr>
      <w:tr>
        <w:tc>
          <w:tcPr>
            <w:tcW w:type="dxa" w:w="2484"/>
            <w:vAlign w:val="top"/>
          </w:tcPr>
          <w:p>
            <w:r>
              <w:rPr>
                <w:sz w:val="17"/>
              </w:rPr>
              <w:t>Neiva et al. 2021</w:t>
            </w:r>
          </w:p>
        </w:tc>
        <w:tc>
          <w:tcPr>
            <w:tcW w:type="dxa" w:w="2484"/>
            <w:vAlign w:val="top"/>
          </w:tcPr>
          <w:p>
            <w:r>
              <w:rPr>
                <w:sz w:val="17"/>
              </w:rPr>
              <w:t>Prior scoping review</w:t>
            </w:r>
          </w:p>
        </w:tc>
        <w:tc>
          <w:tcPr>
            <w:tcW w:type="dxa" w:w="2484"/>
            <w:vAlign w:val="top"/>
          </w:tcPr>
          <w:p>
            <w:r>
              <w:rPr/>
              <w:t>Independent prior scoping review focused on adult HFTO for ventilator weaning; included four studies available through April 2021 and did not map adult-pediatric evidence gaps.</w:t>
            </w:r>
          </w:p>
        </w:tc>
        <w:tc>
          <w:tcPr>
            <w:tcW w:type="dxa" w:w="2484"/>
            <w:vAlign w:val="top"/>
          </w:tcPr>
          <w:p>
            <w:r>
              <w:rPr/>
              <w:t>Include as prior review/background and distinguish the present broader adult-pediatric evidence-gap objective.</w:t>
            </w:r>
          </w:p>
        </w:tc>
      </w:tr>
    </w:tbl>
    <w:p>
      <w:pPr>
        <w:pStyle w:val="Heading1"/>
      </w:pPr>
      <w:r>
        <w:rPr>
          <w:b/>
        </w:rPr>
        <w:t>H. Supplementary Table S1. Characteristics of All Included Sources of Evidence (n = 35)</w:t>
      </w:r>
    </w:p>
    <w:tbl>
      <w:tblPr>
        <w:tblW w:type="auto" w:w="0"/>
        <w:jc w:val="center"/>
        <w:tblLayout w:type="fixed"/>
        <w:tblLook w:firstColumn="1" w:firstRow="1" w:lastColumn="0" w:lastRow="0" w:noHBand="0" w:noVBand="1" w:val="04A0"/>
        <w:tblBorders>
          <w:top w:val="single" w:sz="4" w:color="808080"/>
          <w:left w:val="single" w:sz="4" w:color="808080"/>
          <w:bottom w:val="single" w:sz="4" w:color="808080"/>
          <w:right w:val="single" w:sz="4" w:color="808080"/>
          <w:insideH w:val="single" w:sz="4" w:color="808080"/>
          <w:insideV w:val="single" w:sz="4" w:color="808080"/>
        </w:tblBorders>
      </w:tblPr>
      <w:tblGrid>
        <w:gridCol w:w="650"/>
        <w:gridCol w:w="1300"/>
        <w:gridCol w:w="1900"/>
        <w:gridCol w:w="1800"/>
        <w:gridCol w:w="3500"/>
      </w:tblGrid>
      <w:tr>
        <w:trPr>
          <w:tblHeader w:val="true"/>
          <w:cantSplit/>
          <w:tblHeader w:val="true"/>
        </w:trPr>
        <w:tc>
          <w:tcPr>
            <w:tcW w:type="dxa" w:w="650"/>
            <w:shd w:fill="E7E6E6"/>
            <w:vAlign w:val="top"/>
            <w:tcMar>
              <w:top w:w="70" w:type="dxa"/>
              <w:start w:w="70" w:type="dxa"/>
              <w:bottom w:w="70" w:type="dxa"/>
              <w:end w:w="70" w:type="dxa"/>
            </w:tcMar>
          </w:tcPr>
          <w:p>
            <w:pPr>
              <w:spacing w:after="0" w:before="0" w:line="240" w:lineRule="auto"/>
            </w:pPr>
            <w:r>
              <w:rPr>
                <w:rFonts w:ascii="Arial" w:hAnsi="Arial"/>
                <w:b/>
                <w:sz w:val="15"/>
              </w:rPr>
              <w:t>Ref no.</w:t>
            </w:r>
          </w:p>
        </w:tc>
        <w:tc>
          <w:tcPr>
            <w:tcW w:type="dxa" w:w="1300"/>
            <w:shd w:fill="E7E6E6"/>
            <w:vAlign w:val="top"/>
            <w:tcMar>
              <w:top w:w="70" w:type="dxa"/>
              <w:start w:w="70" w:type="dxa"/>
              <w:bottom w:w="70" w:type="dxa"/>
              <w:end w:w="70" w:type="dxa"/>
            </w:tcMar>
          </w:tcPr>
          <w:p>
            <w:pPr>
              <w:spacing w:after="0" w:before="0" w:line="240" w:lineRule="auto"/>
            </w:pPr>
            <w:r>
              <w:rPr>
                <w:rFonts w:ascii="Arial" w:hAnsi="Arial"/>
                <w:b/>
                <w:sz w:val="15"/>
              </w:rPr>
              <w:t>Author/date</w:t>
            </w:r>
          </w:p>
        </w:tc>
        <w:tc>
          <w:tcPr>
            <w:tcW w:type="dxa" w:w="1900"/>
            <w:shd w:fill="E7E6E6"/>
            <w:vAlign w:val="top"/>
            <w:tcMar>
              <w:top w:w="70" w:type="dxa"/>
              <w:start w:w="70" w:type="dxa"/>
              <w:bottom w:w="70" w:type="dxa"/>
              <w:end w:w="70" w:type="dxa"/>
            </w:tcMar>
          </w:tcPr>
          <w:p>
            <w:pPr>
              <w:spacing w:after="0" w:before="0" w:line="240" w:lineRule="auto"/>
            </w:pPr>
            <w:r>
              <w:rPr>
                <w:rFonts w:ascii="Arial" w:hAnsi="Arial"/>
                <w:b/>
                <w:sz w:val="15"/>
              </w:rPr>
              <w:t>Study design/source type</w:t>
            </w:r>
          </w:p>
        </w:tc>
        <w:tc>
          <w:tcPr>
            <w:tcW w:type="dxa" w:w="1800"/>
            <w:shd w:fill="E7E6E6"/>
            <w:vAlign w:val="top"/>
            <w:tcMar>
              <w:top w:w="70" w:type="dxa"/>
              <w:start w:w="70" w:type="dxa"/>
              <w:bottom w:w="70" w:type="dxa"/>
              <w:end w:w="70" w:type="dxa"/>
            </w:tcMar>
          </w:tcPr>
          <w:p>
            <w:pPr>
              <w:spacing w:after="0" w:before="0" w:line="240" w:lineRule="auto"/>
            </w:pPr>
            <w:r>
              <w:rPr>
                <w:rFonts w:ascii="Arial" w:hAnsi="Arial"/>
                <w:b/>
                <w:sz w:val="15"/>
              </w:rPr>
              <w:t>Population/model</w:t>
            </w:r>
          </w:p>
        </w:tc>
        <w:tc>
          <w:tcPr>
            <w:tcW w:type="dxa" w:w="3500"/>
            <w:shd w:fill="E7E6E6"/>
            <w:vAlign w:val="top"/>
            <w:tcMar>
              <w:top w:w="70" w:type="dxa"/>
              <w:start w:w="70" w:type="dxa"/>
              <w:bottom w:w="70" w:type="dxa"/>
              <w:end w:w="70" w:type="dxa"/>
            </w:tcMar>
          </w:tcPr>
          <w:p>
            <w:pPr>
              <w:spacing w:after="0" w:before="0" w:line="240" w:lineRule="auto"/>
            </w:pPr>
            <w:r>
              <w:rPr>
                <w:rFonts w:ascii="Arial" w:hAnsi="Arial"/>
                <w:b/>
                <w:sz w:val="15"/>
              </w:rPr>
              <w:t>Main mapped outcome</w:t>
            </w:r>
          </w:p>
        </w:tc>
      </w:tr>
      <w:tr>
        <w:trPr>
          <w:cantSplit/>
        </w:trPr>
        <w:tc>
          <w:tcPr>
            <w:tcW w:type="dxa" w:w="650"/>
            <w:vAlign w:val="top"/>
            <w:tcMar>
              <w:top w:w="70" w:type="dxa"/>
              <w:start w:w="70" w:type="dxa"/>
              <w:bottom w:w="70" w:type="dxa"/>
              <w:end w:w="70" w:type="dxa"/>
            </w:tcMar>
          </w:tcPr>
          <w:p>
            <w:pPr>
              <w:spacing w:after="0" w:before="0" w:line="240" w:lineRule="auto"/>
            </w:pPr>
            <w:r>
              <w:rPr>
                <w:rFonts w:ascii="Arial" w:hAnsi="Arial"/>
                <w:sz w:val="15"/>
              </w:rPr>
              <w:t>1</w:t>
            </w:r>
          </w:p>
        </w:tc>
        <w:tc>
          <w:tcPr>
            <w:tcW w:type="dxa" w:w="1300"/>
            <w:vAlign w:val="top"/>
            <w:tcMar>
              <w:top w:w="70" w:type="dxa"/>
              <w:start w:w="70" w:type="dxa"/>
              <w:bottom w:w="70" w:type="dxa"/>
              <w:end w:w="70" w:type="dxa"/>
            </w:tcMar>
          </w:tcPr>
          <w:p>
            <w:pPr>
              <w:spacing w:after="0" w:before="0" w:line="240" w:lineRule="auto"/>
            </w:pPr>
            <w:r>
              <w:rPr>
                <w:rFonts w:ascii="Arial" w:hAnsi="Arial"/>
                <w:sz w:val="15"/>
              </w:rPr>
              <w:t>Lin et al., 2020</w:t>
            </w:r>
          </w:p>
        </w:tc>
        <w:tc>
          <w:tcPr>
            <w:tcW w:type="dxa" w:w="1900"/>
            <w:vAlign w:val="top"/>
            <w:tcMar>
              <w:top w:w="70" w:type="dxa"/>
              <w:start w:w="70" w:type="dxa"/>
              <w:bottom w:w="70" w:type="dxa"/>
              <w:end w:w="70" w:type="dxa"/>
            </w:tcMar>
          </w:tcPr>
          <w:p>
            <w:pPr>
              <w:spacing w:after="0" w:before="0" w:line="240" w:lineRule="auto"/>
            </w:pPr>
            <w:r>
              <w:rPr>
                <w:rFonts w:ascii="Arial" w:hAnsi="Arial"/>
                <w:sz w:val="15"/>
              </w:rPr>
              <w:t>Brief evidence review/editorial of early adult tracheostomy physiologic studies.</w:t>
            </w:r>
          </w:p>
        </w:tc>
        <w:tc>
          <w:tcPr>
            <w:tcW w:type="dxa" w:w="1800"/>
            <w:vAlign w:val="top"/>
            <w:tcMar>
              <w:top w:w="70" w:type="dxa"/>
              <w:start w:w="70" w:type="dxa"/>
              <w:bottom w:w="70" w:type="dxa"/>
              <w:end w:w="70" w:type="dxa"/>
            </w:tcMar>
          </w:tcPr>
          <w:p>
            <w:r>
              <w:rPr>
                <w:sz w:val="15"/>
              </w:rPr>
              <w:t>Adult tracheostomy evidence base summarized from early physiologic studies.</w:t>
            </w:r>
          </w:p>
        </w:tc>
        <w:tc>
          <w:tcPr>
            <w:tcW w:type="dxa" w:w="3500"/>
            <w:vAlign w:val="top"/>
            <w:tcMar>
              <w:top w:w="70" w:type="dxa"/>
              <w:start w:w="70" w:type="dxa"/>
              <w:bottom w:w="70" w:type="dxa"/>
              <w:end w:w="70" w:type="dxa"/>
            </w:tcMar>
          </w:tcPr>
          <w:p>
            <w:pPr>
              <w:spacing w:after="0" w:before="0" w:line="240" w:lineRule="auto"/>
            </w:pPr>
            <w:r>
              <w:rPr>
                <w:rFonts w:ascii="Arial" w:hAnsi="Arial"/>
                <w:sz w:val="15"/>
              </w:rPr>
              <w:t>Evidence was inconclusive: oxygenation or airway-pressure signals were reported in some studies, but work of breathing and neuroventilatory drive did not improve consistently. No formal adverse-event synthesis.</w:t>
            </w:r>
          </w:p>
        </w:tc>
      </w:tr>
      <w:tr>
        <w:trPr>
          <w:cantSplit/>
        </w:trPr>
        <w:tc>
          <w:tcPr>
            <w:tcW w:type="dxa" w:w="650"/>
            <w:vAlign w:val="top"/>
            <w:tcMar>
              <w:top w:w="70" w:type="dxa"/>
              <w:start w:w="70" w:type="dxa"/>
              <w:bottom w:w="70" w:type="dxa"/>
              <w:end w:w="70" w:type="dxa"/>
            </w:tcMar>
          </w:tcPr>
          <w:p>
            <w:pPr>
              <w:spacing w:after="0" w:before="0" w:line="240" w:lineRule="auto"/>
            </w:pPr>
            <w:r>
              <w:rPr>
                <w:rFonts w:ascii="Arial" w:hAnsi="Arial"/>
                <w:sz w:val="15"/>
              </w:rPr>
              <w:t>2</w:t>
            </w:r>
          </w:p>
        </w:tc>
        <w:tc>
          <w:tcPr>
            <w:tcW w:type="dxa" w:w="1300"/>
            <w:vAlign w:val="top"/>
            <w:tcMar>
              <w:top w:w="70" w:type="dxa"/>
              <w:start w:w="70" w:type="dxa"/>
              <w:bottom w:w="70" w:type="dxa"/>
              <w:end w:w="70" w:type="dxa"/>
            </w:tcMar>
          </w:tcPr>
          <w:p>
            <w:pPr>
              <w:spacing w:after="0" w:before="0" w:line="240" w:lineRule="auto"/>
            </w:pPr>
            <w:r>
              <w:rPr>
                <w:rFonts w:ascii="Arial" w:hAnsi="Arial"/>
                <w:sz w:val="15"/>
              </w:rPr>
              <w:t>Natalini et al., 2019</w:t>
            </w:r>
          </w:p>
        </w:tc>
        <w:tc>
          <w:tcPr>
            <w:tcW w:type="dxa" w:w="1900"/>
            <w:vAlign w:val="top"/>
            <w:tcMar>
              <w:top w:w="70" w:type="dxa"/>
              <w:start w:w="70" w:type="dxa"/>
              <w:bottom w:w="70" w:type="dxa"/>
              <w:end w:w="70" w:type="dxa"/>
            </w:tcMar>
          </w:tcPr>
          <w:p>
            <w:pPr>
              <w:spacing w:after="0" w:before="0" w:line="240" w:lineRule="auto"/>
            </w:pPr>
            <w:r>
              <w:rPr>
                <w:rFonts w:ascii="Arial" w:hAnsi="Arial"/>
                <w:sz w:val="15"/>
              </w:rPr>
              <w:t>Randomized crossover physiologic study</w:t>
            </w:r>
          </w:p>
        </w:tc>
        <w:tc>
          <w:tcPr>
            <w:tcW w:type="dxa" w:w="1800"/>
            <w:vAlign w:val="top"/>
            <w:tcMar>
              <w:top w:w="70" w:type="dxa"/>
              <w:start w:w="70" w:type="dxa"/>
              <w:bottom w:w="70" w:type="dxa"/>
              <w:end w:w="70" w:type="dxa"/>
            </w:tcMar>
          </w:tcPr>
          <w:p>
            <w:r>
              <w:rPr>
                <w:sz w:val="15"/>
              </w:rPr>
              <w:t>26 tracheostomized adults in critical care.</w:t>
            </w:r>
          </w:p>
        </w:tc>
        <w:tc>
          <w:tcPr>
            <w:tcW w:type="dxa" w:w="3500"/>
            <w:vAlign w:val="top"/>
            <w:tcMar>
              <w:top w:w="70" w:type="dxa"/>
              <w:start w:w="70" w:type="dxa"/>
              <w:bottom w:w="70" w:type="dxa"/>
              <w:end w:w="70" w:type="dxa"/>
            </w:tcMar>
          </w:tcPr>
          <w:p>
            <w:pPr>
              <w:spacing w:after="0" w:before="0" w:line="240" w:lineRule="auto"/>
            </w:pPr>
            <w:r>
              <w:rPr>
                <w:rFonts w:ascii="Arial" w:hAnsi="Arial"/>
                <w:sz w:val="15"/>
              </w:rPr>
              <w:t>At 50 L/min, PaO2/FiO2 improved, tracheal expiratory pressure increased modestly, and respiratory rate decreased. Pressure generation was substantially lower than with nasal high flow. No major safety signal reported.</w:t>
            </w:r>
          </w:p>
        </w:tc>
      </w:tr>
      <w:tr>
        <w:trPr>
          <w:cantSplit/>
        </w:trPr>
        <w:tc>
          <w:tcPr>
            <w:tcW w:type="dxa" w:w="650"/>
            <w:vAlign w:val="top"/>
            <w:tcMar>
              <w:top w:w="70" w:type="dxa"/>
              <w:start w:w="70" w:type="dxa"/>
              <w:bottom w:w="70" w:type="dxa"/>
              <w:end w:w="70" w:type="dxa"/>
            </w:tcMar>
          </w:tcPr>
          <w:p>
            <w:pPr>
              <w:spacing w:after="0" w:before="0" w:line="240" w:lineRule="auto"/>
            </w:pPr>
            <w:r>
              <w:rPr>
                <w:rFonts w:ascii="Arial" w:hAnsi="Arial"/>
                <w:sz w:val="15"/>
              </w:rPr>
              <w:t>3</w:t>
            </w:r>
          </w:p>
        </w:tc>
        <w:tc>
          <w:tcPr>
            <w:tcW w:type="dxa" w:w="1300"/>
            <w:vAlign w:val="top"/>
            <w:tcMar>
              <w:top w:w="70" w:type="dxa"/>
              <w:start w:w="70" w:type="dxa"/>
              <w:bottom w:w="70" w:type="dxa"/>
              <w:end w:w="70" w:type="dxa"/>
            </w:tcMar>
          </w:tcPr>
          <w:p>
            <w:pPr>
              <w:spacing w:after="0" w:before="0" w:line="240" w:lineRule="auto"/>
            </w:pPr>
            <w:r>
              <w:rPr>
                <w:rFonts w:ascii="Arial" w:hAnsi="Arial"/>
                <w:sz w:val="15"/>
              </w:rPr>
              <w:t>Stripoli et al., 2019</w:t>
            </w:r>
          </w:p>
        </w:tc>
        <w:tc>
          <w:tcPr>
            <w:tcW w:type="dxa" w:w="1900"/>
            <w:vAlign w:val="top"/>
            <w:tcMar>
              <w:top w:w="70" w:type="dxa"/>
              <w:start w:w="70" w:type="dxa"/>
              <w:bottom w:w="70" w:type="dxa"/>
              <w:end w:w="70" w:type="dxa"/>
            </w:tcMar>
          </w:tcPr>
          <w:p>
            <w:pPr>
              <w:spacing w:after="0" w:before="0" w:line="240" w:lineRule="auto"/>
            </w:pPr>
            <w:r>
              <w:rPr>
                <w:rFonts w:ascii="Arial" w:hAnsi="Arial"/>
                <w:sz w:val="15"/>
              </w:rPr>
              <w:t>Single-center crossover physiologic study</w:t>
            </w:r>
          </w:p>
        </w:tc>
        <w:tc>
          <w:tcPr>
            <w:tcW w:type="dxa" w:w="1800"/>
            <w:vAlign w:val="top"/>
            <w:tcMar>
              <w:top w:w="70" w:type="dxa"/>
              <w:start w:w="70" w:type="dxa"/>
              <w:bottom w:w="70" w:type="dxa"/>
              <w:end w:w="70" w:type="dxa"/>
            </w:tcMar>
          </w:tcPr>
          <w:p>
            <w:r>
              <w:rPr>
                <w:sz w:val="15"/>
              </w:rPr>
              <w:t>14 tracheostomized adults at high risk of weaning failure.</w:t>
            </w:r>
          </w:p>
        </w:tc>
        <w:tc>
          <w:tcPr>
            <w:tcW w:type="dxa" w:w="3500"/>
            <w:vAlign w:val="top"/>
            <w:tcMar>
              <w:top w:w="70" w:type="dxa"/>
              <w:start w:w="70" w:type="dxa"/>
              <w:bottom w:w="70" w:type="dxa"/>
              <w:end w:w="70" w:type="dxa"/>
            </w:tcMar>
          </w:tcPr>
          <w:p>
            <w:pPr>
              <w:spacing w:after="0" w:before="0" w:line="240" w:lineRule="auto"/>
            </w:pPr>
            <w:r>
              <w:rPr>
                <w:rFonts w:ascii="Arial" w:hAnsi="Arial"/>
                <w:sz w:val="15"/>
              </w:rPr>
              <w:t>HFTO did not improve electrical diaphragm activity, neuroventilatory drive, work of breathing, respiratory rate, or arterial blood gases compared with conventional oxygen. No major adverse signal reported.</w:t>
            </w:r>
          </w:p>
        </w:tc>
      </w:tr>
      <w:tr>
        <w:trPr>
          <w:cantSplit/>
        </w:trPr>
        <w:tc>
          <w:tcPr>
            <w:tcW w:type="dxa" w:w="650"/>
            <w:vAlign w:val="top"/>
            <w:tcMar>
              <w:top w:w="70" w:type="dxa"/>
              <w:start w:w="70" w:type="dxa"/>
              <w:bottom w:w="70" w:type="dxa"/>
              <w:end w:w="70" w:type="dxa"/>
            </w:tcMar>
          </w:tcPr>
          <w:p>
            <w:pPr>
              <w:spacing w:after="0" w:before="0" w:line="240" w:lineRule="auto"/>
            </w:pPr>
            <w:r>
              <w:rPr>
                <w:rFonts w:ascii="Arial" w:hAnsi="Arial"/>
                <w:sz w:val="15"/>
              </w:rPr>
              <w:t>4</w:t>
            </w:r>
          </w:p>
        </w:tc>
        <w:tc>
          <w:tcPr>
            <w:tcW w:type="dxa" w:w="1300"/>
            <w:vAlign w:val="top"/>
            <w:tcMar>
              <w:top w:w="70" w:type="dxa"/>
              <w:start w:w="70" w:type="dxa"/>
              <w:bottom w:w="70" w:type="dxa"/>
              <w:end w:w="70" w:type="dxa"/>
            </w:tcMar>
          </w:tcPr>
          <w:p>
            <w:pPr>
              <w:spacing w:after="0" w:before="0" w:line="240" w:lineRule="auto"/>
            </w:pPr>
            <w:r>
              <w:rPr>
                <w:rFonts w:ascii="Arial" w:hAnsi="Arial"/>
                <w:sz w:val="15"/>
              </w:rPr>
              <w:t>Lersritwimanmaen et al., 2021</w:t>
            </w:r>
          </w:p>
        </w:tc>
        <w:tc>
          <w:tcPr>
            <w:tcW w:type="dxa" w:w="1900"/>
            <w:vAlign w:val="top"/>
            <w:tcMar>
              <w:top w:w="70" w:type="dxa"/>
              <w:start w:w="70" w:type="dxa"/>
              <w:bottom w:w="70" w:type="dxa"/>
              <w:end w:w="70" w:type="dxa"/>
            </w:tcMar>
          </w:tcPr>
          <w:p>
            <w:pPr>
              <w:spacing w:after="0" w:before="0" w:line="240" w:lineRule="auto"/>
            </w:pPr>
            <w:r>
              <w:rPr>
                <w:rFonts w:ascii="Arial" w:hAnsi="Arial"/>
                <w:sz w:val="15"/>
              </w:rPr>
              <w:t>Randomized crossover physiologic study</w:t>
            </w:r>
          </w:p>
        </w:tc>
        <w:tc>
          <w:tcPr>
            <w:tcW w:type="dxa" w:w="1800"/>
            <w:vAlign w:val="top"/>
            <w:tcMar>
              <w:top w:w="70" w:type="dxa"/>
              <w:start w:w="70" w:type="dxa"/>
              <w:bottom w:w="70" w:type="dxa"/>
              <w:end w:w="70" w:type="dxa"/>
            </w:tcMar>
          </w:tcPr>
          <w:p>
            <w:r>
              <w:rPr>
                <w:sz w:val="15"/>
              </w:rPr>
              <w:t>22 adults with prolonged mechanical ventilation.</w:t>
            </w:r>
          </w:p>
        </w:tc>
        <w:tc>
          <w:tcPr>
            <w:tcW w:type="dxa" w:w="3500"/>
            <w:vAlign w:val="top"/>
            <w:tcMar>
              <w:top w:w="70" w:type="dxa"/>
              <w:start w:w="70" w:type="dxa"/>
              <w:bottom w:w="70" w:type="dxa"/>
              <w:end w:w="70" w:type="dxa"/>
            </w:tcMar>
          </w:tcPr>
          <w:p>
            <w:pPr>
              <w:spacing w:after="0" w:before="0" w:line="240" w:lineRule="auto"/>
            </w:pPr>
            <w:r>
              <w:rPr>
                <w:rFonts w:ascii="Arial" w:hAnsi="Arial"/>
                <w:sz w:val="15"/>
              </w:rPr>
              <w:t>Inspiratory effort and breathing frequency increased after ventilator disconnection with either approach; HFTO provided no measurable additional physiologic benefit over T-tube oxygen. No hemodynamic or carbon dioxide difference reported.</w:t>
            </w:r>
          </w:p>
        </w:tc>
      </w:tr>
      <w:tr>
        <w:trPr>
          <w:cantSplit/>
        </w:trPr>
        <w:tc>
          <w:tcPr>
            <w:tcW w:type="dxa" w:w="650"/>
            <w:vAlign w:val="top"/>
            <w:tcMar>
              <w:top w:w="70" w:type="dxa"/>
              <w:start w:w="70" w:type="dxa"/>
              <w:bottom w:w="70" w:type="dxa"/>
              <w:end w:w="70" w:type="dxa"/>
            </w:tcMar>
          </w:tcPr>
          <w:p>
            <w:pPr>
              <w:spacing w:after="0" w:before="0" w:line="240" w:lineRule="auto"/>
            </w:pPr>
            <w:r>
              <w:rPr>
                <w:rFonts w:ascii="Arial" w:hAnsi="Arial"/>
                <w:sz w:val="15"/>
              </w:rPr>
              <w:t>5</w:t>
            </w:r>
          </w:p>
        </w:tc>
        <w:tc>
          <w:tcPr>
            <w:tcW w:type="dxa" w:w="1300"/>
            <w:vAlign w:val="top"/>
            <w:tcMar>
              <w:top w:w="70" w:type="dxa"/>
              <w:start w:w="70" w:type="dxa"/>
              <w:bottom w:w="70" w:type="dxa"/>
              <w:end w:w="70" w:type="dxa"/>
            </w:tcMar>
          </w:tcPr>
          <w:p>
            <w:pPr>
              <w:spacing w:after="0" w:before="0" w:line="240" w:lineRule="auto"/>
            </w:pPr>
            <w:r>
              <w:rPr>
                <w:rFonts w:ascii="Arial" w:hAnsi="Arial"/>
                <w:sz w:val="15"/>
              </w:rPr>
              <w:t>Masood et al., 2023</w:t>
            </w:r>
          </w:p>
        </w:tc>
        <w:tc>
          <w:tcPr>
            <w:tcW w:type="dxa" w:w="1900"/>
            <w:vAlign w:val="top"/>
            <w:tcMar>
              <w:top w:w="70" w:type="dxa"/>
              <w:start w:w="70" w:type="dxa"/>
              <w:bottom w:w="70" w:type="dxa"/>
              <w:end w:w="70" w:type="dxa"/>
            </w:tcMar>
          </w:tcPr>
          <w:p>
            <w:pPr>
              <w:spacing w:after="0" w:before="0" w:line="240" w:lineRule="auto"/>
            </w:pPr>
            <w:r>
              <w:rPr>
                <w:rFonts w:ascii="Arial" w:hAnsi="Arial"/>
                <w:sz w:val="15"/>
              </w:rPr>
              <w:t>Retrospective pre-post implementation study</w:t>
            </w:r>
          </w:p>
        </w:tc>
        <w:tc>
          <w:tcPr>
            <w:tcW w:type="dxa" w:w="1800"/>
            <w:vAlign w:val="top"/>
            <w:tcMar>
              <w:top w:w="70" w:type="dxa"/>
              <w:start w:w="70" w:type="dxa"/>
              <w:bottom w:w="70" w:type="dxa"/>
              <w:end w:w="70" w:type="dxa"/>
            </w:tcMar>
          </w:tcPr>
          <w:p>
            <w:r>
              <w:rPr>
                <w:sz w:val="15"/>
              </w:rPr>
              <w:t>82 adults after head and neck free-flap surgery with tracheostomy.</w:t>
            </w:r>
          </w:p>
        </w:tc>
        <w:tc>
          <w:tcPr>
            <w:tcW w:type="dxa" w:w="3500"/>
            <w:vAlign w:val="top"/>
            <w:tcMar>
              <w:top w:w="70" w:type="dxa"/>
              <w:start w:w="70" w:type="dxa"/>
              <w:bottom w:w="70" w:type="dxa"/>
              <w:end w:w="70" w:type="dxa"/>
            </w:tcMar>
          </w:tcPr>
          <w:p>
            <w:pPr>
              <w:spacing w:after="0" w:before="0" w:line="240" w:lineRule="auto"/>
            </w:pPr>
            <w:r>
              <w:rPr>
                <w:rFonts w:ascii="Arial" w:hAnsi="Arial"/>
                <w:sz w:val="15"/>
              </w:rPr>
              <w:t>Excessive secretions decreased from 40% to 11.9%, and oxygen need above baseline decreased from 25% to 7.1%. Length of stay did not differ; no respiratory rapid responses or ICU escalation occurred in either group.</w:t>
            </w:r>
          </w:p>
        </w:tc>
      </w:tr>
      <w:tr>
        <w:trPr>
          <w:cantSplit/>
        </w:trPr>
        <w:tc>
          <w:tcPr>
            <w:tcW w:type="dxa" w:w="650"/>
            <w:vAlign w:val="top"/>
            <w:tcMar>
              <w:top w:w="70" w:type="dxa"/>
              <w:start w:w="70" w:type="dxa"/>
              <w:bottom w:w="70" w:type="dxa"/>
              <w:end w:w="70" w:type="dxa"/>
            </w:tcMar>
          </w:tcPr>
          <w:p>
            <w:pPr>
              <w:spacing w:after="0" w:before="0" w:line="240" w:lineRule="auto"/>
            </w:pPr>
            <w:r>
              <w:rPr>
                <w:rFonts w:ascii="Arial" w:hAnsi="Arial"/>
                <w:sz w:val="15"/>
              </w:rPr>
              <w:t>6</w:t>
            </w:r>
          </w:p>
        </w:tc>
        <w:tc>
          <w:tcPr>
            <w:tcW w:type="dxa" w:w="1300"/>
            <w:vAlign w:val="top"/>
            <w:tcMar>
              <w:top w:w="70" w:type="dxa"/>
              <w:start w:w="70" w:type="dxa"/>
              <w:bottom w:w="70" w:type="dxa"/>
              <w:end w:w="70" w:type="dxa"/>
            </w:tcMar>
          </w:tcPr>
          <w:p>
            <w:pPr>
              <w:spacing w:after="0" w:before="0" w:line="240" w:lineRule="auto"/>
            </w:pPr>
            <w:r>
              <w:rPr>
                <w:rFonts w:ascii="Arial" w:hAnsi="Arial"/>
                <w:sz w:val="15"/>
              </w:rPr>
              <w:t>Egbers et al., 2023</w:t>
            </w:r>
          </w:p>
        </w:tc>
        <w:tc>
          <w:tcPr>
            <w:tcW w:type="dxa" w:w="1900"/>
            <w:vAlign w:val="top"/>
            <w:tcMar>
              <w:top w:w="70" w:type="dxa"/>
              <w:start w:w="70" w:type="dxa"/>
              <w:bottom w:w="70" w:type="dxa"/>
              <w:end w:w="70" w:type="dxa"/>
            </w:tcMar>
          </w:tcPr>
          <w:p>
            <w:pPr>
              <w:spacing w:after="0" w:before="0" w:line="240" w:lineRule="auto"/>
            </w:pPr>
            <w:r>
              <w:rPr>
                <w:rFonts w:ascii="Arial" w:hAnsi="Arial"/>
                <w:sz w:val="15"/>
              </w:rPr>
              <w:t>Quality registry plus benchtop safety study</w:t>
            </w:r>
          </w:p>
        </w:tc>
        <w:tc>
          <w:tcPr>
            <w:tcW w:type="dxa" w:w="1800"/>
            <w:vAlign w:val="top"/>
            <w:tcMar>
              <w:top w:w="70" w:type="dxa"/>
              <w:start w:w="70" w:type="dxa"/>
              <w:bottom w:w="70" w:type="dxa"/>
              <w:end w:w="70" w:type="dxa"/>
            </w:tcMar>
          </w:tcPr>
          <w:p>
            <w:r>
              <w:rPr>
                <w:sz w:val="15"/>
              </w:rPr>
              <w:t>128 adults undergoing weaning, 124 treated with high flow through a tracheostomy and one-way speaking valve.</w:t>
            </w:r>
          </w:p>
        </w:tc>
        <w:tc>
          <w:tcPr>
            <w:tcW w:type="dxa" w:w="3500"/>
            <w:vAlign w:val="top"/>
            <w:tcMar>
              <w:top w:w="70" w:type="dxa"/>
              <w:start w:w="70" w:type="dxa"/>
              <w:bottom w:w="70" w:type="dxa"/>
              <w:end w:w="70" w:type="dxa"/>
            </w:tcMar>
          </w:tcPr>
          <w:p>
            <w:pPr>
              <w:spacing w:after="0" w:before="0" w:line="240" w:lineRule="auto"/>
            </w:pPr>
            <w:r>
              <w:rPr>
                <w:rFonts w:ascii="Arial" w:hAnsi="Arial"/>
                <w:sz w:val="15"/>
              </w:rPr>
              <w:t>Clinical use was well tolerated with no practice-related adverse events. Bench pressures were low with the tested HFTO configuration, whereas oxygen through a standard one-way valve during obstruction produced dangerously high pressures.</w:t>
            </w:r>
          </w:p>
        </w:tc>
      </w:tr>
      <w:tr>
        <w:trPr>
          <w:cantSplit/>
        </w:trPr>
        <w:tc>
          <w:tcPr>
            <w:tcW w:type="dxa" w:w="650"/>
            <w:vAlign w:val="top"/>
            <w:tcMar>
              <w:top w:w="70" w:type="dxa"/>
              <w:start w:w="70" w:type="dxa"/>
              <w:bottom w:w="70" w:type="dxa"/>
              <w:end w:w="70" w:type="dxa"/>
            </w:tcMar>
          </w:tcPr>
          <w:p>
            <w:pPr>
              <w:spacing w:after="0" w:before="0" w:line="240" w:lineRule="auto"/>
            </w:pPr>
            <w:r>
              <w:rPr>
                <w:rFonts w:ascii="Arial" w:hAnsi="Arial"/>
                <w:sz w:val="15"/>
              </w:rPr>
              <w:t>7</w:t>
            </w:r>
          </w:p>
        </w:tc>
        <w:tc>
          <w:tcPr>
            <w:tcW w:type="dxa" w:w="1300"/>
            <w:vAlign w:val="top"/>
            <w:tcMar>
              <w:top w:w="70" w:type="dxa"/>
              <w:start w:w="70" w:type="dxa"/>
              <w:bottom w:w="70" w:type="dxa"/>
              <w:end w:w="70" w:type="dxa"/>
            </w:tcMar>
          </w:tcPr>
          <w:p>
            <w:r>
              <w:rPr>
                <w:sz w:val="15"/>
              </w:rPr>
              <w:t>Hernández Martínez et al., 2020</w:t>
            </w:r>
          </w:p>
        </w:tc>
        <w:tc>
          <w:tcPr>
            <w:tcW w:type="dxa" w:w="1900"/>
            <w:vAlign w:val="top"/>
            <w:tcMar>
              <w:top w:w="70" w:type="dxa"/>
              <w:start w:w="70" w:type="dxa"/>
              <w:bottom w:w="70" w:type="dxa"/>
              <w:end w:w="70" w:type="dxa"/>
            </w:tcMar>
          </w:tcPr>
          <w:p>
            <w:pPr>
              <w:spacing w:after="0" w:before="0" w:line="240" w:lineRule="auto"/>
            </w:pPr>
            <w:r>
              <w:rPr>
                <w:rFonts w:ascii="Arial" w:hAnsi="Arial"/>
                <w:sz w:val="15"/>
              </w:rPr>
              <w:t>Multicenter randomized trial</w:t>
            </w:r>
          </w:p>
        </w:tc>
        <w:tc>
          <w:tcPr>
            <w:tcW w:type="dxa" w:w="1800"/>
            <w:vAlign w:val="top"/>
            <w:tcMar>
              <w:top w:w="70" w:type="dxa"/>
              <w:start w:w="70" w:type="dxa"/>
              <w:bottom w:w="70" w:type="dxa"/>
              <w:end w:w="70" w:type="dxa"/>
            </w:tcMar>
          </w:tcPr>
          <w:p>
            <w:r>
              <w:rPr>
                <w:sz w:val="15"/>
              </w:rPr>
              <w:t>330 conscious critically ill adults with tracheostomy after ventilator weaning.</w:t>
            </w:r>
          </w:p>
        </w:tc>
        <w:tc>
          <w:tcPr>
            <w:tcW w:type="dxa" w:w="3500"/>
            <w:vAlign w:val="top"/>
            <w:tcMar>
              <w:top w:w="70" w:type="dxa"/>
              <w:start w:w="70" w:type="dxa"/>
              <w:bottom w:w="70" w:type="dxa"/>
              <w:end w:w="70" w:type="dxa"/>
            </w:tcMar>
          </w:tcPr>
          <w:p>
            <w:pPr>
              <w:spacing w:after="0" w:before="0" w:line="240" w:lineRule="auto"/>
            </w:pPr>
            <w:r>
              <w:rPr>
                <w:sz w:val="15"/>
              </w:rPr>
              <w:t>The HFTO-containing decannulation strategy used continuous high-flow oxygen with suctioning frequency as the readiness criterion. Median time to decannulation was shorter (6 versus 13 days) without increased failure; the result reflects the combined pathway rather than HFTO alone.</w:t>
            </w:r>
          </w:p>
        </w:tc>
      </w:tr>
      <w:tr>
        <w:trPr>
          <w:cantSplit/>
        </w:trPr>
        <w:tc>
          <w:tcPr>
            <w:tcW w:type="dxa" w:w="650"/>
            <w:vAlign w:val="top"/>
            <w:tcMar>
              <w:top w:w="70" w:type="dxa"/>
              <w:start w:w="70" w:type="dxa"/>
              <w:bottom w:w="70" w:type="dxa"/>
              <w:end w:w="70" w:type="dxa"/>
            </w:tcMar>
          </w:tcPr>
          <w:p>
            <w:pPr>
              <w:spacing w:after="0" w:before="0" w:line="240" w:lineRule="auto"/>
            </w:pPr>
            <w:r>
              <w:rPr>
                <w:rFonts w:ascii="Arial" w:hAnsi="Arial"/>
                <w:sz w:val="15"/>
              </w:rPr>
              <w:t>8</w:t>
            </w:r>
          </w:p>
        </w:tc>
        <w:tc>
          <w:tcPr>
            <w:tcW w:type="dxa" w:w="1300"/>
            <w:vAlign w:val="top"/>
            <w:tcMar>
              <w:top w:w="70" w:type="dxa"/>
              <w:start w:w="70" w:type="dxa"/>
              <w:bottom w:w="70" w:type="dxa"/>
              <w:end w:w="70" w:type="dxa"/>
            </w:tcMar>
          </w:tcPr>
          <w:p>
            <w:pPr>
              <w:spacing w:after="0" w:before="0" w:line="240" w:lineRule="auto"/>
            </w:pPr>
            <w:r>
              <w:rPr>
                <w:rFonts w:ascii="Arial" w:hAnsi="Arial"/>
                <w:sz w:val="15"/>
              </w:rPr>
              <w:t>Chikata et al., 2013</w:t>
            </w:r>
          </w:p>
        </w:tc>
        <w:tc>
          <w:tcPr>
            <w:tcW w:type="dxa" w:w="1900"/>
            <w:vAlign w:val="top"/>
            <w:tcMar>
              <w:top w:w="70" w:type="dxa"/>
              <w:start w:w="70" w:type="dxa"/>
              <w:bottom w:w="70" w:type="dxa"/>
              <w:end w:w="70" w:type="dxa"/>
            </w:tcMar>
          </w:tcPr>
          <w:p>
            <w:pPr>
              <w:spacing w:after="0" w:before="0" w:line="240" w:lineRule="auto"/>
            </w:pPr>
            <w:r>
              <w:rPr>
                <w:rFonts w:ascii="Arial" w:hAnsi="Arial"/>
                <w:sz w:val="15"/>
              </w:rPr>
              <w:t>Bench humidification study using simulated spontaneously breathing tracheostomized patients.</w:t>
            </w:r>
          </w:p>
        </w:tc>
        <w:tc>
          <w:tcPr>
            <w:tcW w:type="dxa" w:w="1800"/>
            <w:vAlign w:val="top"/>
            <w:tcMar>
              <w:top w:w="70" w:type="dxa"/>
              <w:start w:w="70" w:type="dxa"/>
              <w:bottom w:w="70" w:type="dxa"/>
              <w:end w:w="70" w:type="dxa"/>
            </w:tcMar>
          </w:tcPr>
          <w:p>
            <w:r>
              <w:rPr>
                <w:sz w:val="15"/>
              </w:rPr>
              <w:t>Simulated spontaneously breathing tracheostomized patients.</w:t>
            </w:r>
          </w:p>
        </w:tc>
        <w:tc>
          <w:tcPr>
            <w:tcW w:type="dxa" w:w="3500"/>
            <w:vAlign w:val="top"/>
            <w:tcMar>
              <w:top w:w="70" w:type="dxa"/>
              <w:start w:w="70" w:type="dxa"/>
              <w:bottom w:w="70" w:type="dxa"/>
              <w:end w:w="70" w:type="dxa"/>
            </w:tcMar>
          </w:tcPr>
          <w:p>
            <w:pPr>
              <w:spacing w:after="0" w:before="0" w:line="240" w:lineRule="auto"/>
            </w:pPr>
            <w:r>
              <w:rPr>
                <w:rFonts w:ascii="Arial" w:hAnsi="Arial"/>
                <w:sz w:val="15"/>
              </w:rPr>
              <w:t>With supplemental oxygen, all tested HMEs provided less than 30 mg/L absolute humidity; actively heated systems exceeded 30 mg/L across settings. Highlights risk of inadequate humidification and secretion complications.</w:t>
            </w:r>
          </w:p>
        </w:tc>
      </w:tr>
      <w:tr>
        <w:trPr>
          <w:cantSplit/>
        </w:trPr>
        <w:tc>
          <w:tcPr>
            <w:tcW w:type="dxa" w:w="650"/>
            <w:vAlign w:val="top"/>
            <w:tcMar>
              <w:top w:w="70" w:type="dxa"/>
              <w:start w:w="70" w:type="dxa"/>
              <w:bottom w:w="70" w:type="dxa"/>
              <w:end w:w="70" w:type="dxa"/>
            </w:tcMar>
          </w:tcPr>
          <w:p>
            <w:pPr>
              <w:spacing w:after="0" w:before="0" w:line="240" w:lineRule="auto"/>
            </w:pPr>
            <w:r>
              <w:rPr>
                <w:rFonts w:ascii="Arial" w:hAnsi="Arial"/>
                <w:sz w:val="15"/>
              </w:rPr>
              <w:t>9</w:t>
            </w:r>
          </w:p>
        </w:tc>
        <w:tc>
          <w:tcPr>
            <w:tcW w:type="dxa" w:w="1300"/>
            <w:vAlign w:val="top"/>
            <w:tcMar>
              <w:top w:w="70" w:type="dxa"/>
              <w:start w:w="70" w:type="dxa"/>
              <w:bottom w:w="70" w:type="dxa"/>
              <w:end w:w="70" w:type="dxa"/>
            </w:tcMar>
          </w:tcPr>
          <w:p>
            <w:pPr>
              <w:spacing w:after="0" w:before="0" w:line="240" w:lineRule="auto"/>
            </w:pPr>
            <w:r>
              <w:rPr>
                <w:rFonts w:ascii="Arial" w:hAnsi="Arial"/>
                <w:sz w:val="15"/>
              </w:rPr>
              <w:t>Corley et al., 2017</w:t>
            </w:r>
          </w:p>
        </w:tc>
        <w:tc>
          <w:tcPr>
            <w:tcW w:type="dxa" w:w="1900"/>
            <w:vAlign w:val="top"/>
            <w:tcMar>
              <w:top w:w="70" w:type="dxa"/>
              <w:start w:w="70" w:type="dxa"/>
              <w:bottom w:w="70" w:type="dxa"/>
              <w:end w:w="70" w:type="dxa"/>
            </w:tcMar>
          </w:tcPr>
          <w:p>
            <w:pPr>
              <w:spacing w:after="0" w:before="0" w:line="240" w:lineRule="auto"/>
            </w:pPr>
            <w:r>
              <w:rPr>
                <w:rFonts w:ascii="Arial" w:hAnsi="Arial"/>
                <w:sz w:val="15"/>
              </w:rPr>
              <w:t>Randomized crossover physiologic study</w:t>
            </w:r>
          </w:p>
        </w:tc>
        <w:tc>
          <w:tcPr>
            <w:tcW w:type="dxa" w:w="1800"/>
            <w:vAlign w:val="top"/>
            <w:tcMar>
              <w:top w:w="70" w:type="dxa"/>
              <w:start w:w="70" w:type="dxa"/>
              <w:bottom w:w="70" w:type="dxa"/>
              <w:end w:w="70" w:type="dxa"/>
            </w:tcMar>
          </w:tcPr>
          <w:p>
            <w:r>
              <w:rPr>
                <w:sz w:val="15"/>
              </w:rPr>
              <w:t>20 adults with tracheostomy during prolonged-ventilation weaning.</w:t>
            </w:r>
          </w:p>
        </w:tc>
        <w:tc>
          <w:tcPr>
            <w:tcW w:type="dxa" w:w="3500"/>
            <w:vAlign w:val="top"/>
            <w:tcMar>
              <w:top w:w="70" w:type="dxa"/>
              <w:start w:w="70" w:type="dxa"/>
              <w:bottom w:w="70" w:type="dxa"/>
              <w:end w:w="70" w:type="dxa"/>
            </w:tcMar>
          </w:tcPr>
          <w:p>
            <w:pPr>
              <w:spacing w:after="0" w:before="0" w:line="240" w:lineRule="auto"/>
            </w:pPr>
            <w:r>
              <w:rPr>
                <w:sz w:val="15"/>
              </w:rPr>
              <w:t>Oxygenation improved and mean airway pressure increased slightly; end-expiratory lung volume, tidal volume, carbon dioxide, respiratory rate, heart rate, and dyspnea did not differ materially. No major safety signal was reported.</w:t>
            </w:r>
          </w:p>
        </w:tc>
      </w:tr>
      <w:tr>
        <w:trPr>
          <w:cantSplit/>
        </w:trPr>
        <w:tc>
          <w:tcPr>
            <w:tcW w:type="dxa" w:w="650"/>
            <w:vAlign w:val="top"/>
            <w:tcMar>
              <w:top w:w="70" w:type="dxa"/>
              <w:start w:w="70" w:type="dxa"/>
              <w:bottom w:w="70" w:type="dxa"/>
              <w:end w:w="70" w:type="dxa"/>
            </w:tcMar>
          </w:tcPr>
          <w:p>
            <w:pPr>
              <w:spacing w:after="0" w:before="0" w:line="240" w:lineRule="auto"/>
            </w:pPr>
            <w:r>
              <w:rPr>
                <w:rFonts w:ascii="Arial" w:hAnsi="Arial"/>
                <w:sz w:val="15"/>
              </w:rPr>
              <w:t>10</w:t>
            </w:r>
          </w:p>
        </w:tc>
        <w:tc>
          <w:tcPr>
            <w:tcW w:type="dxa" w:w="1300"/>
            <w:vAlign w:val="top"/>
            <w:tcMar>
              <w:top w:w="70" w:type="dxa"/>
              <w:start w:w="70" w:type="dxa"/>
              <w:bottom w:w="70" w:type="dxa"/>
              <w:end w:w="70" w:type="dxa"/>
            </w:tcMar>
          </w:tcPr>
          <w:p>
            <w:pPr>
              <w:spacing w:after="0" w:before="0" w:line="240" w:lineRule="auto"/>
            </w:pPr>
            <w:r>
              <w:rPr>
                <w:rFonts w:ascii="Arial" w:hAnsi="Arial"/>
                <w:sz w:val="15"/>
              </w:rPr>
              <w:t>Musso et al., 2026</w:t>
            </w:r>
          </w:p>
        </w:tc>
        <w:tc>
          <w:tcPr>
            <w:tcW w:type="dxa" w:w="1900"/>
            <w:vAlign w:val="top"/>
            <w:tcMar>
              <w:top w:w="70" w:type="dxa"/>
              <w:start w:w="70" w:type="dxa"/>
              <w:bottom w:w="70" w:type="dxa"/>
              <w:end w:w="70" w:type="dxa"/>
            </w:tcMar>
          </w:tcPr>
          <w:p>
            <w:pPr>
              <w:spacing w:after="0" w:before="0" w:line="240" w:lineRule="auto"/>
            </w:pPr>
            <w:r>
              <w:rPr>
                <w:rFonts w:ascii="Arial" w:hAnsi="Arial"/>
                <w:sz w:val="15"/>
              </w:rPr>
              <w:t>Prospective physiologic crossover study</w:t>
            </w:r>
          </w:p>
        </w:tc>
        <w:tc>
          <w:tcPr>
            <w:tcW w:type="dxa" w:w="1800"/>
            <w:vAlign w:val="top"/>
            <w:tcMar>
              <w:top w:w="70" w:type="dxa"/>
              <w:start w:w="70" w:type="dxa"/>
              <w:bottom w:w="70" w:type="dxa"/>
              <w:end w:w="70" w:type="dxa"/>
            </w:tcMar>
          </w:tcPr>
          <w:p>
            <w:r>
              <w:rPr>
                <w:sz w:val="15"/>
              </w:rPr>
              <w:t>11 adults breathing spontaneously after liberation from invasive ventilation.</w:t>
            </w:r>
          </w:p>
        </w:tc>
        <w:tc>
          <w:tcPr>
            <w:tcW w:type="dxa" w:w="3500"/>
            <w:vAlign w:val="top"/>
            <w:tcMar>
              <w:top w:w="70" w:type="dxa"/>
              <w:start w:w="70" w:type="dxa"/>
              <w:bottom w:w="70" w:type="dxa"/>
              <w:end w:w="70" w:type="dxa"/>
            </w:tcMar>
          </w:tcPr>
          <w:p>
            <w:pPr>
              <w:spacing w:after="0" w:before="0" w:line="240" w:lineRule="auto"/>
            </w:pPr>
            <w:r>
              <w:rPr>
                <w:rFonts w:ascii="Arial" w:hAnsi="Arial"/>
                <w:sz w:val="15"/>
              </w:rPr>
              <w:t>Global end-expiratory lung impedance increased modestly, but oxygenation, breathing frequency, hemodynamics, and regional ventilation measures did not change. All subjects completed testing without adverse events or respiratory distress.</w:t>
            </w:r>
          </w:p>
        </w:tc>
      </w:tr>
      <w:tr>
        <w:trPr>
          <w:cantSplit/>
        </w:trPr>
        <w:tc>
          <w:tcPr>
            <w:tcW w:type="dxa" w:w="650"/>
            <w:vAlign w:val="top"/>
            <w:tcMar>
              <w:top w:w="70" w:type="dxa"/>
              <w:start w:w="70" w:type="dxa"/>
              <w:bottom w:w="70" w:type="dxa"/>
              <w:end w:w="70" w:type="dxa"/>
            </w:tcMar>
          </w:tcPr>
          <w:p>
            <w:pPr>
              <w:spacing w:after="0" w:before="0" w:line="240" w:lineRule="auto"/>
            </w:pPr>
            <w:r>
              <w:rPr>
                <w:rFonts w:ascii="Arial" w:hAnsi="Arial"/>
                <w:sz w:val="15"/>
              </w:rPr>
              <w:t>11</w:t>
            </w:r>
          </w:p>
        </w:tc>
        <w:tc>
          <w:tcPr>
            <w:tcW w:type="dxa" w:w="1300"/>
            <w:vAlign w:val="top"/>
            <w:tcMar>
              <w:top w:w="70" w:type="dxa"/>
              <w:start w:w="70" w:type="dxa"/>
              <w:bottom w:w="70" w:type="dxa"/>
              <w:end w:w="70" w:type="dxa"/>
            </w:tcMar>
          </w:tcPr>
          <w:p>
            <w:pPr>
              <w:spacing w:after="0" w:before="0" w:line="240" w:lineRule="auto"/>
            </w:pPr>
            <w:r>
              <w:rPr>
                <w:rFonts w:ascii="Arial" w:hAnsi="Arial"/>
                <w:sz w:val="15"/>
              </w:rPr>
              <w:t>Al Duhailib et al., 2025</w:t>
            </w:r>
          </w:p>
        </w:tc>
        <w:tc>
          <w:tcPr>
            <w:tcW w:type="dxa" w:w="1900"/>
            <w:vAlign w:val="top"/>
            <w:tcMar>
              <w:top w:w="70" w:type="dxa"/>
              <w:start w:w="70" w:type="dxa"/>
              <w:bottom w:w="70" w:type="dxa"/>
              <w:end w:w="70" w:type="dxa"/>
            </w:tcMar>
          </w:tcPr>
          <w:p>
            <w:pPr>
              <w:spacing w:after="0" w:before="0" w:line="240" w:lineRule="auto"/>
            </w:pPr>
            <w:r>
              <w:rPr>
                <w:rFonts w:ascii="Arial" w:hAnsi="Arial"/>
                <w:sz w:val="15"/>
              </w:rPr>
              <w:t>Retrospective cohort</w:t>
            </w:r>
          </w:p>
        </w:tc>
        <w:tc>
          <w:tcPr>
            <w:tcW w:type="dxa" w:w="1800"/>
            <w:vAlign w:val="top"/>
            <w:tcMar>
              <w:top w:w="70" w:type="dxa"/>
              <w:start w:w="70" w:type="dxa"/>
              <w:bottom w:w="70" w:type="dxa"/>
              <w:end w:w="70" w:type="dxa"/>
            </w:tcMar>
          </w:tcPr>
          <w:p>
            <w:r>
              <w:rPr>
                <w:sz w:val="15"/>
              </w:rPr>
              <w:t>77 critically ill tracheostomized adults receiving HFTO for difficult or prolonged weaning.</w:t>
            </w:r>
          </w:p>
        </w:tc>
        <w:tc>
          <w:tcPr>
            <w:tcW w:type="dxa" w:w="3500"/>
            <w:vAlign w:val="top"/>
            <w:tcMar>
              <w:top w:w="70" w:type="dxa"/>
              <w:start w:w="70" w:type="dxa"/>
              <w:bottom w:w="70" w:type="dxa"/>
              <w:end w:w="70" w:type="dxa"/>
            </w:tcMar>
          </w:tcPr>
          <w:p>
            <w:pPr>
              <w:spacing w:after="0" w:before="0" w:line="240" w:lineRule="auto"/>
            </w:pPr>
            <w:r>
              <w:rPr>
                <w:rFonts w:ascii="Arial" w:hAnsi="Arial"/>
                <w:sz w:val="15"/>
              </w:rPr>
              <w:t>Overall, 57 of 77 patients (74%) were liberated from mechanical ventilation by 60 days. Early versus rescue initiation did not significantly change liberation or ventilator-free days. No prominent adverse signal reported.</w:t>
            </w:r>
          </w:p>
        </w:tc>
      </w:tr>
      <w:tr>
        <w:trPr>
          <w:cantSplit/>
        </w:trPr>
        <w:tc>
          <w:tcPr>
            <w:tcW w:type="dxa" w:w="650"/>
            <w:vAlign w:val="top"/>
            <w:tcMar>
              <w:top w:w="70" w:type="dxa"/>
              <w:start w:w="70" w:type="dxa"/>
              <w:bottom w:w="70" w:type="dxa"/>
              <w:end w:w="70" w:type="dxa"/>
            </w:tcMar>
          </w:tcPr>
          <w:p>
            <w:pPr>
              <w:spacing w:after="0" w:before="0" w:line="240" w:lineRule="auto"/>
            </w:pPr>
            <w:r>
              <w:rPr>
                <w:rFonts w:ascii="Arial" w:hAnsi="Arial"/>
                <w:sz w:val="15"/>
              </w:rPr>
              <w:t>12</w:t>
            </w:r>
          </w:p>
        </w:tc>
        <w:tc>
          <w:tcPr>
            <w:tcW w:type="dxa" w:w="1300"/>
            <w:vAlign w:val="top"/>
            <w:tcMar>
              <w:top w:w="70" w:type="dxa"/>
              <w:start w:w="70" w:type="dxa"/>
              <w:bottom w:w="70" w:type="dxa"/>
              <w:end w:w="70" w:type="dxa"/>
            </w:tcMar>
          </w:tcPr>
          <w:p>
            <w:pPr>
              <w:spacing w:after="0" w:before="0" w:line="240" w:lineRule="auto"/>
            </w:pPr>
            <w:r>
              <w:rPr>
                <w:rFonts w:ascii="Arial" w:hAnsi="Arial"/>
                <w:sz w:val="15"/>
              </w:rPr>
              <w:t>Chen, Albuainain, and Li, 2025</w:t>
            </w:r>
          </w:p>
        </w:tc>
        <w:tc>
          <w:tcPr>
            <w:tcW w:type="dxa" w:w="1900"/>
            <w:vAlign w:val="top"/>
            <w:tcMar>
              <w:top w:w="70" w:type="dxa"/>
              <w:start w:w="70" w:type="dxa"/>
              <w:bottom w:w="70" w:type="dxa"/>
              <w:end w:w="70" w:type="dxa"/>
            </w:tcMar>
          </w:tcPr>
          <w:p>
            <w:pPr>
              <w:spacing w:after="0" w:before="0" w:line="240" w:lineRule="auto"/>
            </w:pPr>
            <w:r>
              <w:rPr>
                <w:rFonts w:ascii="Arial" w:hAnsi="Arial"/>
                <w:sz w:val="15"/>
              </w:rPr>
              <w:t>Bench aerosol-delivery study using a simulated spontaneously breathing adult tracheostomy model.</w:t>
            </w:r>
          </w:p>
        </w:tc>
        <w:tc>
          <w:tcPr>
            <w:tcW w:type="dxa" w:w="1800"/>
            <w:vAlign w:val="top"/>
            <w:tcMar>
              <w:top w:w="70" w:type="dxa"/>
              <w:start w:w="70" w:type="dxa"/>
              <w:bottom w:w="70" w:type="dxa"/>
              <w:end w:w="70" w:type="dxa"/>
            </w:tcMar>
          </w:tcPr>
          <w:p>
            <w:r>
              <w:rPr>
                <w:sz w:val="15"/>
              </w:rPr>
              <w:t>Simulated spontaneously breathing adult tracheostomy model.</w:t>
            </w:r>
          </w:p>
        </w:tc>
        <w:tc>
          <w:tcPr>
            <w:tcW w:type="dxa" w:w="3500"/>
            <w:vAlign w:val="top"/>
            <w:tcMar>
              <w:top w:w="70" w:type="dxa"/>
              <w:start w:w="70" w:type="dxa"/>
              <w:bottom w:w="70" w:type="dxa"/>
              <w:end w:w="70" w:type="dxa"/>
            </w:tcMar>
          </w:tcPr>
          <w:p>
            <w:pPr>
              <w:spacing w:after="0" w:before="0" w:line="240" w:lineRule="auto"/>
            </w:pPr>
            <w:r>
              <w:rPr>
                <w:rFonts w:ascii="Arial" w:hAnsi="Arial"/>
                <w:sz w:val="15"/>
              </w:rPr>
              <w:t>Delivered aerosol was strongly affected by setup and flow; lower flow often increased inhaled dose. Findings support explicit respiratory-therapy protocols and attention to disconnection, bulk, and tube-dislodgement risks.</w:t>
            </w:r>
          </w:p>
        </w:tc>
      </w:tr>
      <w:tr>
        <w:trPr>
          <w:cantSplit/>
        </w:trPr>
        <w:tc>
          <w:tcPr>
            <w:tcW w:type="dxa" w:w="650"/>
            <w:vAlign w:val="top"/>
            <w:tcMar>
              <w:top w:w="70" w:type="dxa"/>
              <w:start w:w="70" w:type="dxa"/>
              <w:bottom w:w="70" w:type="dxa"/>
              <w:end w:w="70" w:type="dxa"/>
            </w:tcMar>
          </w:tcPr>
          <w:p>
            <w:pPr>
              <w:spacing w:after="0" w:before="0" w:line="240" w:lineRule="auto"/>
            </w:pPr>
            <w:r>
              <w:rPr>
                <w:rFonts w:ascii="Arial" w:hAnsi="Arial"/>
                <w:sz w:val="15"/>
              </w:rPr>
              <w:t>13</w:t>
            </w:r>
          </w:p>
        </w:tc>
        <w:tc>
          <w:tcPr>
            <w:tcW w:type="dxa" w:w="1300"/>
            <w:vAlign w:val="top"/>
            <w:tcMar>
              <w:top w:w="70" w:type="dxa"/>
              <w:start w:w="70" w:type="dxa"/>
              <w:bottom w:w="70" w:type="dxa"/>
              <w:end w:w="70" w:type="dxa"/>
            </w:tcMar>
          </w:tcPr>
          <w:p>
            <w:pPr>
              <w:spacing w:after="0" w:before="0" w:line="240" w:lineRule="auto"/>
            </w:pPr>
            <w:r>
              <w:rPr>
                <w:rFonts w:ascii="Arial" w:hAnsi="Arial"/>
                <w:sz w:val="15"/>
              </w:rPr>
              <w:t>Albuainain, Man, and Li, 2026</w:t>
            </w:r>
          </w:p>
        </w:tc>
        <w:tc>
          <w:tcPr>
            <w:tcW w:type="dxa" w:w="1900"/>
            <w:vAlign w:val="top"/>
            <w:tcMar>
              <w:top w:w="70" w:type="dxa"/>
              <w:start w:w="70" w:type="dxa"/>
              <w:bottom w:w="70" w:type="dxa"/>
              <w:end w:w="70" w:type="dxa"/>
            </w:tcMar>
          </w:tcPr>
          <w:p>
            <w:pPr>
              <w:spacing w:after="0" w:before="0" w:line="240" w:lineRule="auto"/>
            </w:pPr>
            <w:r>
              <w:rPr>
                <w:rFonts w:ascii="Arial" w:hAnsi="Arial"/>
                <w:sz w:val="15"/>
              </w:rPr>
              <w:t>Pediatric bench simulation using 5-kg infant and 15-kg toddler tracheostomy models.</w:t>
            </w:r>
          </w:p>
        </w:tc>
        <w:tc>
          <w:tcPr>
            <w:tcW w:type="dxa" w:w="1800"/>
            <w:vAlign w:val="top"/>
            <w:tcMar>
              <w:top w:w="70" w:type="dxa"/>
              <w:start w:w="70" w:type="dxa"/>
              <w:bottom w:w="70" w:type="dxa"/>
              <w:end w:w="70" w:type="dxa"/>
            </w:tcMar>
          </w:tcPr>
          <w:p>
            <w:r>
              <w:rPr>
                <w:sz w:val="15"/>
              </w:rPr>
              <w:t>5-kg infant and 15-kg toddler tracheostomy models.</w:t>
            </w:r>
          </w:p>
        </w:tc>
        <w:tc>
          <w:tcPr>
            <w:tcW w:type="dxa" w:w="3500"/>
            <w:vAlign w:val="top"/>
            <w:tcMar>
              <w:top w:w="70" w:type="dxa"/>
              <w:start w:w="70" w:type="dxa"/>
              <w:bottom w:w="70" w:type="dxa"/>
              <w:end w:w="70" w:type="dxa"/>
            </w:tcMar>
          </w:tcPr>
          <w:p>
            <w:pPr>
              <w:spacing w:after="0" w:before="0" w:line="240" w:lineRule="auto"/>
            </w:pPr>
            <w:r>
              <w:rPr>
                <w:rFonts w:ascii="Arial" w:hAnsi="Arial"/>
                <w:sz w:val="15"/>
              </w:rPr>
              <w:t>Aerosol dose decreased as flow increased. Optiflow and Airvo 2 delivered similar doses at comparable toddler flows. Flow reduction during nebulization may improve delivery but requires oxygenation monitoring and return to prescribed support flow.</w:t>
            </w:r>
          </w:p>
        </w:tc>
      </w:tr>
      <w:tr>
        <w:trPr>
          <w:cantSplit/>
        </w:trPr>
        <w:tc>
          <w:tcPr>
            <w:tcW w:type="dxa" w:w="650"/>
            <w:vAlign w:val="top"/>
            <w:tcMar>
              <w:top w:w="70" w:type="dxa"/>
              <w:start w:w="70" w:type="dxa"/>
              <w:bottom w:w="70" w:type="dxa"/>
              <w:end w:w="70" w:type="dxa"/>
            </w:tcMar>
          </w:tcPr>
          <w:p>
            <w:pPr>
              <w:spacing w:after="0" w:before="0" w:line="240" w:lineRule="auto"/>
            </w:pPr>
            <w:r>
              <w:rPr>
                <w:rFonts w:ascii="Arial" w:hAnsi="Arial"/>
                <w:sz w:val="15"/>
              </w:rPr>
              <w:t>14</w:t>
            </w:r>
          </w:p>
        </w:tc>
        <w:tc>
          <w:tcPr>
            <w:tcW w:type="dxa" w:w="1300"/>
            <w:vAlign w:val="top"/>
            <w:tcMar>
              <w:top w:w="70" w:type="dxa"/>
              <w:start w:w="70" w:type="dxa"/>
              <w:bottom w:w="70" w:type="dxa"/>
              <w:end w:w="70" w:type="dxa"/>
            </w:tcMar>
          </w:tcPr>
          <w:p>
            <w:pPr>
              <w:spacing w:after="0" w:before="0" w:line="240" w:lineRule="auto"/>
            </w:pPr>
            <w:r>
              <w:rPr>
                <w:rFonts w:ascii="Arial" w:hAnsi="Arial"/>
                <w:sz w:val="15"/>
              </w:rPr>
              <w:t>Chen et al., 2019</w:t>
            </w:r>
          </w:p>
        </w:tc>
        <w:tc>
          <w:tcPr>
            <w:tcW w:type="dxa" w:w="1900"/>
            <w:vAlign w:val="top"/>
            <w:tcMar>
              <w:top w:w="70" w:type="dxa"/>
              <w:start w:w="70" w:type="dxa"/>
              <w:bottom w:w="70" w:type="dxa"/>
              <w:end w:w="70" w:type="dxa"/>
            </w:tcMar>
          </w:tcPr>
          <w:p>
            <w:pPr>
              <w:spacing w:after="0" w:before="0" w:line="240" w:lineRule="auto"/>
            </w:pPr>
            <w:r>
              <w:rPr>
                <w:rFonts w:ascii="Arial" w:hAnsi="Arial"/>
                <w:sz w:val="15"/>
              </w:rPr>
              <w:t>Bench plus animal crossover study using a spontaneous-breathing model and six tracheostomized pigs before and after lung injury.</w:t>
            </w:r>
          </w:p>
        </w:tc>
        <w:tc>
          <w:tcPr>
            <w:tcW w:type="dxa" w:w="1800"/>
            <w:vAlign w:val="top"/>
            <w:tcMar>
              <w:top w:w="70" w:type="dxa"/>
              <w:start w:w="70" w:type="dxa"/>
              <w:bottom w:w="70" w:type="dxa"/>
              <w:end w:w="70" w:type="dxa"/>
            </w:tcMar>
          </w:tcPr>
          <w:p>
            <w:r>
              <w:rPr>
                <w:sz w:val="15"/>
              </w:rPr>
              <w:t>Spontaneous-breathing bench model and six tracheostomized pigs before and after lung injury.</w:t>
            </w:r>
          </w:p>
        </w:tc>
        <w:tc>
          <w:tcPr>
            <w:tcW w:type="dxa" w:w="3500"/>
            <w:vAlign w:val="top"/>
            <w:tcMar>
              <w:top w:w="70" w:type="dxa"/>
              <w:start w:w="70" w:type="dxa"/>
              <w:bottom w:w="70" w:type="dxa"/>
              <w:end w:w="70" w:type="dxa"/>
            </w:tcMar>
          </w:tcPr>
          <w:p>
            <w:pPr>
              <w:spacing w:after="0" w:before="0" w:line="240" w:lineRule="auto"/>
            </w:pPr>
            <w:r>
              <w:rPr>
                <w:rFonts w:ascii="Arial" w:hAnsi="Arial"/>
                <w:sz w:val="15"/>
              </w:rPr>
              <w:t>The modified system increased airway pressure, expiratory resistance, end-expiratory lung volume, and oxygenation without worsening measured effort or lung stress. All animals tolerated testing; pressure-generating modifications require clinical caution.</w:t>
            </w:r>
          </w:p>
        </w:tc>
      </w:tr>
      <w:tr>
        <w:trPr>
          <w:cantSplit/>
        </w:trPr>
        <w:tc>
          <w:tcPr>
            <w:tcW w:type="dxa" w:w="650"/>
            <w:vAlign w:val="top"/>
            <w:tcMar>
              <w:top w:w="70" w:type="dxa"/>
              <w:start w:w="70" w:type="dxa"/>
              <w:bottom w:w="70" w:type="dxa"/>
              <w:end w:w="70" w:type="dxa"/>
            </w:tcMar>
          </w:tcPr>
          <w:p>
            <w:pPr>
              <w:spacing w:after="0" w:before="0" w:line="240" w:lineRule="auto"/>
            </w:pPr>
            <w:r>
              <w:rPr>
                <w:rFonts w:ascii="Arial" w:hAnsi="Arial"/>
                <w:sz w:val="15"/>
              </w:rPr>
              <w:t>15</w:t>
            </w:r>
          </w:p>
        </w:tc>
        <w:tc>
          <w:tcPr>
            <w:tcW w:type="dxa" w:w="1300"/>
            <w:vAlign w:val="top"/>
            <w:tcMar>
              <w:top w:w="70" w:type="dxa"/>
              <w:start w:w="70" w:type="dxa"/>
              <w:bottom w:w="70" w:type="dxa"/>
              <w:end w:w="70" w:type="dxa"/>
            </w:tcMar>
          </w:tcPr>
          <w:p>
            <w:pPr>
              <w:spacing w:after="0" w:before="0" w:line="240" w:lineRule="auto"/>
            </w:pPr>
            <w:r>
              <w:rPr>
                <w:rFonts w:ascii="Arial" w:hAnsi="Arial"/>
                <w:sz w:val="15"/>
              </w:rPr>
              <w:t>Hou et al., 2025</w:t>
            </w:r>
          </w:p>
        </w:tc>
        <w:tc>
          <w:tcPr>
            <w:tcW w:type="dxa" w:w="1900"/>
            <w:vAlign w:val="top"/>
            <w:tcMar>
              <w:top w:w="70" w:type="dxa"/>
              <w:start w:w="70" w:type="dxa"/>
              <w:bottom w:w="70" w:type="dxa"/>
              <w:end w:w="70" w:type="dxa"/>
            </w:tcMar>
          </w:tcPr>
          <w:p>
            <w:pPr>
              <w:spacing w:after="0" w:before="0" w:line="240" w:lineRule="auto"/>
            </w:pPr>
            <w:r>
              <w:rPr>
                <w:rFonts w:ascii="Arial" w:hAnsi="Arial"/>
                <w:sz w:val="15"/>
              </w:rPr>
              <w:t>Randomized crossover bench/preclinical simulation using a size 8 cuffed tracheostomy and high-fidelity lung simulator.</w:t>
            </w:r>
          </w:p>
        </w:tc>
        <w:tc>
          <w:tcPr>
            <w:tcW w:type="dxa" w:w="1800"/>
            <w:vAlign w:val="top"/>
            <w:tcMar>
              <w:top w:w="70" w:type="dxa"/>
              <w:start w:w="70" w:type="dxa"/>
              <w:bottom w:w="70" w:type="dxa"/>
              <w:end w:w="70" w:type="dxa"/>
            </w:tcMar>
          </w:tcPr>
          <w:p>
            <w:r>
              <w:rPr>
                <w:sz w:val="15"/>
              </w:rPr>
              <w:t>Size 8 cuffed tracheostomy with a high-fidelity lung simulator.</w:t>
            </w:r>
          </w:p>
        </w:tc>
        <w:tc>
          <w:tcPr>
            <w:tcW w:type="dxa" w:w="3500"/>
            <w:vAlign w:val="top"/>
            <w:tcMar>
              <w:top w:w="70" w:type="dxa"/>
              <w:start w:w="70" w:type="dxa"/>
              <w:bottom w:w="70" w:type="dxa"/>
              <w:end w:w="70" w:type="dxa"/>
            </w:tcMar>
          </w:tcPr>
          <w:p>
            <w:pPr>
              <w:spacing w:after="0" w:before="0" w:line="240" w:lineRule="auto"/>
            </w:pPr>
            <w:r>
              <w:rPr>
                <w:rFonts w:ascii="Arial" w:hAnsi="Arial"/>
                <w:sz w:val="15"/>
              </w:rPr>
              <w:t>The novel interface generated higher PEEP and functional residual capacity and maintained more constant FiO2. Bench findings require in-vivo efficacy and safety testing because increased pressure may create risk.</w:t>
            </w:r>
          </w:p>
        </w:tc>
      </w:tr>
      <w:tr>
        <w:trPr>
          <w:cantSplit/>
        </w:trPr>
        <w:tc>
          <w:tcPr>
            <w:tcW w:type="dxa" w:w="650"/>
            <w:vAlign w:val="top"/>
            <w:tcMar>
              <w:top w:w="70" w:type="dxa"/>
              <w:start w:w="70" w:type="dxa"/>
              <w:bottom w:w="70" w:type="dxa"/>
              <w:end w:w="70" w:type="dxa"/>
            </w:tcMar>
          </w:tcPr>
          <w:p>
            <w:pPr>
              <w:spacing w:after="0" w:before="0" w:line="240" w:lineRule="auto"/>
            </w:pPr>
            <w:r>
              <w:rPr>
                <w:rFonts w:ascii="Arial" w:hAnsi="Arial"/>
                <w:sz w:val="15"/>
              </w:rPr>
              <w:t>16</w:t>
            </w:r>
          </w:p>
        </w:tc>
        <w:tc>
          <w:tcPr>
            <w:tcW w:type="dxa" w:w="1300"/>
            <w:vAlign w:val="top"/>
            <w:tcMar>
              <w:top w:w="70" w:type="dxa"/>
              <w:start w:w="70" w:type="dxa"/>
              <w:bottom w:w="70" w:type="dxa"/>
              <w:end w:w="70" w:type="dxa"/>
            </w:tcMar>
          </w:tcPr>
          <w:p>
            <w:pPr>
              <w:spacing w:after="0" w:before="0" w:line="240" w:lineRule="auto"/>
            </w:pPr>
            <w:r>
              <w:rPr>
                <w:rFonts w:ascii="Arial" w:hAnsi="Arial"/>
                <w:sz w:val="15"/>
              </w:rPr>
              <w:t>Thomas et al., 2021</w:t>
            </w:r>
          </w:p>
        </w:tc>
        <w:tc>
          <w:tcPr>
            <w:tcW w:type="dxa" w:w="1900"/>
            <w:vAlign w:val="top"/>
            <w:tcMar>
              <w:top w:w="70" w:type="dxa"/>
              <w:start w:w="70" w:type="dxa"/>
              <w:bottom w:w="70" w:type="dxa"/>
              <w:end w:w="70" w:type="dxa"/>
            </w:tcMar>
          </w:tcPr>
          <w:p>
            <w:pPr>
              <w:spacing w:after="0" w:before="0" w:line="240" w:lineRule="auto"/>
            </w:pPr>
            <w:r>
              <w:rPr>
                <w:rFonts w:ascii="Arial" w:hAnsi="Arial"/>
                <w:sz w:val="15"/>
              </w:rPr>
              <w:t>Literature review plus benchtop experiment using a size 8 uncuffed tracheostomy.</w:t>
            </w:r>
          </w:p>
        </w:tc>
        <w:tc>
          <w:tcPr>
            <w:tcW w:type="dxa" w:w="1800"/>
            <w:vAlign w:val="top"/>
            <w:tcMar>
              <w:top w:w="70" w:type="dxa"/>
              <w:start w:w="70" w:type="dxa"/>
              <w:bottom w:w="70" w:type="dxa"/>
              <w:end w:w="70" w:type="dxa"/>
            </w:tcMar>
          </w:tcPr>
          <w:p>
            <w:r>
              <w:rPr>
                <w:sz w:val="15"/>
              </w:rPr>
              <w:t>Size 8 uncuffed tracheostomy bench model.</w:t>
            </w:r>
          </w:p>
        </w:tc>
        <w:tc>
          <w:tcPr>
            <w:tcW w:type="dxa" w:w="3500"/>
            <w:vAlign w:val="top"/>
            <w:tcMar>
              <w:top w:w="70" w:type="dxa"/>
              <w:start w:w="70" w:type="dxa"/>
              <w:bottom w:w="70" w:type="dxa"/>
              <w:end w:w="70" w:type="dxa"/>
            </w:tcMar>
          </w:tcPr>
          <w:p>
            <w:r>
              <w:rPr>
                <w:sz w:val="15"/>
              </w:rPr>
              <w:t>PEEP was approximately 0.3, 0.5, and 0.9 cm H2O at 40, 50, and 60 L/min, respectively, suggesting standard HFTO is unlikely to provide meaningful mechanical assistance during weaning. No patient safety outcomes.</w:t>
            </w:r>
          </w:p>
        </w:tc>
      </w:tr>
      <w:tr>
        <w:trPr>
          <w:cantSplit/>
        </w:trPr>
        <w:tc>
          <w:tcPr>
            <w:tcW w:type="dxa" w:w="650"/>
            <w:vAlign w:val="top"/>
            <w:tcMar>
              <w:top w:w="70" w:type="dxa"/>
              <w:start w:w="70" w:type="dxa"/>
              <w:bottom w:w="70" w:type="dxa"/>
              <w:end w:w="70" w:type="dxa"/>
            </w:tcMar>
          </w:tcPr>
          <w:p>
            <w:pPr>
              <w:spacing w:after="0" w:before="0" w:line="240" w:lineRule="auto"/>
            </w:pPr>
            <w:r>
              <w:rPr>
                <w:rFonts w:ascii="Arial" w:hAnsi="Arial"/>
                <w:sz w:val="15"/>
              </w:rPr>
              <w:t>17</w:t>
            </w:r>
          </w:p>
        </w:tc>
        <w:tc>
          <w:tcPr>
            <w:tcW w:type="dxa" w:w="1300"/>
            <w:vAlign w:val="top"/>
            <w:tcMar>
              <w:top w:w="70" w:type="dxa"/>
              <w:start w:w="70" w:type="dxa"/>
              <w:bottom w:w="70" w:type="dxa"/>
              <w:end w:w="70" w:type="dxa"/>
            </w:tcMar>
          </w:tcPr>
          <w:p>
            <w:pPr>
              <w:spacing w:after="0" w:before="0" w:line="240" w:lineRule="auto"/>
            </w:pPr>
            <w:r>
              <w:rPr>
                <w:rFonts w:ascii="Arial" w:hAnsi="Arial"/>
                <w:sz w:val="15"/>
              </w:rPr>
              <w:t>Neiva et al., 2021</w:t>
            </w:r>
          </w:p>
        </w:tc>
        <w:tc>
          <w:tcPr>
            <w:tcW w:type="dxa" w:w="1900"/>
            <w:vAlign w:val="top"/>
            <w:tcMar>
              <w:top w:w="70" w:type="dxa"/>
              <w:start w:w="70" w:type="dxa"/>
              <w:bottom w:w="70" w:type="dxa"/>
              <w:end w:w="70" w:type="dxa"/>
            </w:tcMar>
          </w:tcPr>
          <w:p>
            <w:pPr>
              <w:spacing w:after="0" w:before="0" w:line="240" w:lineRule="auto"/>
            </w:pPr>
            <w:r>
              <w:rPr>
                <w:rFonts w:ascii="Arial" w:hAnsi="Arial"/>
                <w:sz w:val="15"/>
              </w:rPr>
              <w:t>Prior scoping review focused on ventilator weaning</w:t>
            </w:r>
          </w:p>
        </w:tc>
        <w:tc>
          <w:tcPr>
            <w:tcW w:type="dxa" w:w="1800"/>
            <w:vAlign w:val="top"/>
            <w:tcMar>
              <w:top w:w="70" w:type="dxa"/>
              <w:start w:w="70" w:type="dxa"/>
              <w:bottom w:w="70" w:type="dxa"/>
              <w:end w:w="70" w:type="dxa"/>
            </w:tcMar>
          </w:tcPr>
          <w:p>
            <w:r>
              <w:rPr>
                <w:sz w:val="15"/>
              </w:rPr>
              <w:t>Four adult studies, reported total sample 378.</w:t>
            </w:r>
          </w:p>
        </w:tc>
        <w:tc>
          <w:tcPr>
            <w:tcW w:type="dxa" w:w="3500"/>
            <w:vAlign w:val="top"/>
            <w:tcMar>
              <w:top w:w="70" w:type="dxa"/>
              <w:start w:w="70" w:type="dxa"/>
              <w:bottom w:w="70" w:type="dxa"/>
              <w:end w:w="70" w:type="dxa"/>
            </w:tcMar>
          </w:tcPr>
          <w:p>
            <w:pPr>
              <w:spacing w:after="0" w:before="0" w:line="240" w:lineRule="auto"/>
            </w:pPr>
            <w:r>
              <w:rPr>
                <w:rFonts w:ascii="Arial" w:hAnsi="Arial"/>
                <w:sz w:val="15"/>
              </w:rPr>
              <w:t>Suggested possible improvements in oxygenation, respiratory effort, tidal volume, weaning time, and airway clearance, but evidence was small and limited to weaning. No new primary safety data.</w:t>
            </w:r>
          </w:p>
        </w:tc>
      </w:tr>
      <w:tr>
        <w:trPr>
          <w:cantSplit/>
        </w:trPr>
        <w:tc>
          <w:tcPr>
            <w:tcW w:type="dxa" w:w="650"/>
            <w:vAlign w:val="top"/>
            <w:tcMar>
              <w:top w:w="70" w:type="dxa"/>
              <w:start w:w="70" w:type="dxa"/>
              <w:bottom w:w="70" w:type="dxa"/>
              <w:end w:w="70" w:type="dxa"/>
            </w:tcMar>
          </w:tcPr>
          <w:p>
            <w:pPr>
              <w:spacing w:after="0" w:before="0" w:line="240" w:lineRule="auto"/>
            </w:pPr>
            <w:r>
              <w:rPr>
                <w:rFonts w:ascii="Arial" w:hAnsi="Arial"/>
                <w:sz w:val="15"/>
              </w:rPr>
              <w:t>20</w:t>
            </w:r>
          </w:p>
        </w:tc>
        <w:tc>
          <w:tcPr>
            <w:tcW w:type="dxa" w:w="1300"/>
            <w:vAlign w:val="top"/>
            <w:tcMar>
              <w:top w:w="70" w:type="dxa"/>
              <w:start w:w="70" w:type="dxa"/>
              <w:bottom w:w="70" w:type="dxa"/>
              <w:end w:w="70" w:type="dxa"/>
            </w:tcMar>
          </w:tcPr>
          <w:p>
            <w:pPr>
              <w:spacing w:after="0" w:before="0" w:line="240" w:lineRule="auto"/>
            </w:pPr>
            <w:r>
              <w:rPr>
                <w:rFonts w:ascii="Arial" w:hAnsi="Arial"/>
                <w:sz w:val="15"/>
              </w:rPr>
              <w:t>HFTO WEAN Trial, 2026</w:t>
            </w:r>
          </w:p>
        </w:tc>
        <w:tc>
          <w:tcPr>
            <w:tcW w:type="dxa" w:w="1900"/>
            <w:vAlign w:val="top"/>
            <w:tcMar>
              <w:top w:w="70" w:type="dxa"/>
              <w:start w:w="70" w:type="dxa"/>
              <w:bottom w:w="70" w:type="dxa"/>
              <w:end w:w="70" w:type="dxa"/>
            </w:tcMar>
          </w:tcPr>
          <w:p>
            <w:pPr>
              <w:spacing w:after="0" w:before="0" w:line="240" w:lineRule="auto"/>
            </w:pPr>
            <w:r>
              <w:rPr>
                <w:rFonts w:ascii="Arial" w:hAnsi="Arial"/>
                <w:sz w:val="15"/>
              </w:rPr>
              <w:t>Ongoing pilot randomized controlled trial registry record in tracheostomized mechanically ventilated patients.</w:t>
            </w:r>
          </w:p>
        </w:tc>
        <w:tc>
          <w:tcPr>
            <w:tcW w:type="dxa" w:w="1800"/>
            <w:vAlign w:val="top"/>
            <w:tcMar>
              <w:top w:w="70" w:type="dxa"/>
              <w:start w:w="70" w:type="dxa"/>
              <w:bottom w:w="70" w:type="dxa"/>
              <w:end w:w="70" w:type="dxa"/>
            </w:tcMar>
          </w:tcPr>
          <w:p>
            <w:r>
              <w:rPr>
                <w:sz w:val="15"/>
              </w:rPr>
              <w:t>Tracheostomized mechanically ventilated patients enrolled in a pilot weaning trial.</w:t>
            </w:r>
          </w:p>
        </w:tc>
        <w:tc>
          <w:tcPr>
            <w:tcW w:type="dxa" w:w="3500"/>
            <w:vAlign w:val="top"/>
            <w:tcMar>
              <w:top w:w="70" w:type="dxa"/>
              <w:start w:w="70" w:type="dxa"/>
              <w:bottom w:w="70" w:type="dxa"/>
              <w:end w:w="70" w:type="dxa"/>
            </w:tcMar>
          </w:tcPr>
          <w:p>
            <w:pPr>
              <w:spacing w:after="0" w:before="0" w:line="240" w:lineRule="auto"/>
            </w:pPr>
            <w:r>
              <w:rPr>
                <w:rFonts w:ascii="Arial" w:hAnsi="Arial"/>
                <w:sz w:val="15"/>
              </w:rPr>
              <w:t>Planned feasibility and clinical weaning outcomes; no results or adverse-event data available at the search date.</w:t>
            </w:r>
          </w:p>
        </w:tc>
      </w:tr>
      <w:tr>
        <w:trPr>
          <w:cantSplit/>
        </w:trPr>
        <w:tc>
          <w:tcPr>
            <w:tcW w:type="dxa" w:w="650"/>
            <w:vAlign w:val="top"/>
            <w:tcMar>
              <w:top w:w="70" w:type="dxa"/>
              <w:start w:w="70" w:type="dxa"/>
              <w:bottom w:w="70" w:type="dxa"/>
              <w:end w:w="70" w:type="dxa"/>
            </w:tcMar>
          </w:tcPr>
          <w:p>
            <w:pPr>
              <w:spacing w:after="0" w:before="0" w:line="240" w:lineRule="auto"/>
            </w:pPr>
            <w:r>
              <w:rPr>
                <w:rFonts w:ascii="Arial" w:hAnsi="Arial"/>
                <w:sz w:val="15"/>
              </w:rPr>
              <w:t>21</w:t>
            </w:r>
          </w:p>
        </w:tc>
        <w:tc>
          <w:tcPr>
            <w:tcW w:type="dxa" w:w="1300"/>
            <w:vAlign w:val="top"/>
            <w:tcMar>
              <w:top w:w="70" w:type="dxa"/>
              <w:start w:w="70" w:type="dxa"/>
              <w:bottom w:w="70" w:type="dxa"/>
              <w:end w:w="70" w:type="dxa"/>
            </w:tcMar>
          </w:tcPr>
          <w:p>
            <w:pPr>
              <w:spacing w:after="0" w:before="0" w:line="240" w:lineRule="auto"/>
            </w:pPr>
            <w:r>
              <w:rPr>
                <w:rFonts w:ascii="Arial" w:hAnsi="Arial"/>
                <w:sz w:val="15"/>
              </w:rPr>
              <w:t>Yang et al., 2026</w:t>
            </w:r>
          </w:p>
        </w:tc>
        <w:tc>
          <w:tcPr>
            <w:tcW w:type="dxa" w:w="1900"/>
            <w:vAlign w:val="top"/>
            <w:tcMar>
              <w:top w:w="70" w:type="dxa"/>
              <w:start w:w="70" w:type="dxa"/>
              <w:bottom w:w="70" w:type="dxa"/>
              <w:end w:w="70" w:type="dxa"/>
            </w:tcMar>
          </w:tcPr>
          <w:p>
            <w:pPr>
              <w:spacing w:after="0" w:before="0" w:line="240" w:lineRule="auto"/>
            </w:pPr>
            <w:r>
              <w:rPr>
                <w:rFonts w:ascii="Arial" w:hAnsi="Arial"/>
                <w:sz w:val="15"/>
              </w:rPr>
              <w:t>Randomized-trial protocol in adults requiring prolonged mechanical ventilation.</w:t>
            </w:r>
          </w:p>
        </w:tc>
        <w:tc>
          <w:tcPr>
            <w:tcW w:type="dxa" w:w="1800"/>
            <w:vAlign w:val="top"/>
            <w:tcMar>
              <w:top w:w="70" w:type="dxa"/>
              <w:start w:w="70" w:type="dxa"/>
              <w:bottom w:w="70" w:type="dxa"/>
              <w:end w:w="70" w:type="dxa"/>
            </w:tcMar>
          </w:tcPr>
          <w:p>
            <w:r>
              <w:rPr>
                <w:sz w:val="15"/>
              </w:rPr>
              <w:t>Adults requiring prolonged mechanical ventilation.</w:t>
            </w:r>
          </w:p>
        </w:tc>
        <w:tc>
          <w:tcPr>
            <w:tcW w:type="dxa" w:w="3500"/>
            <w:vAlign w:val="top"/>
            <w:tcMar>
              <w:top w:w="70" w:type="dxa"/>
              <w:start w:w="70" w:type="dxa"/>
              <w:bottom w:w="70" w:type="dxa"/>
              <w:end w:w="70" w:type="dxa"/>
            </w:tcMar>
          </w:tcPr>
          <w:p>
            <w:pPr>
              <w:spacing w:after="0" w:before="0" w:line="240" w:lineRule="auto"/>
            </w:pPr>
            <w:r>
              <w:rPr>
                <w:rFonts w:ascii="Arial" w:hAnsi="Arial"/>
                <w:sz w:val="15"/>
              </w:rPr>
              <w:t>Planned outcomes include weaning, diaphragm function, complications, and patient-centered measures. Protocol only; no effectiveness or safety results.</w:t>
            </w:r>
          </w:p>
        </w:tc>
      </w:tr>
      <w:tr>
        <w:trPr>
          <w:cantSplit/>
        </w:trPr>
        <w:tc>
          <w:tcPr>
            <w:tcW w:type="dxa" w:w="650"/>
            <w:vAlign w:val="top"/>
            <w:tcMar>
              <w:top w:w="70" w:type="dxa"/>
              <w:start w:w="70" w:type="dxa"/>
              <w:bottom w:w="70" w:type="dxa"/>
              <w:end w:w="70" w:type="dxa"/>
            </w:tcMar>
          </w:tcPr>
          <w:p>
            <w:pPr>
              <w:spacing w:after="0" w:before="0" w:line="240" w:lineRule="auto"/>
            </w:pPr>
            <w:r>
              <w:rPr>
                <w:rFonts w:ascii="Arial" w:hAnsi="Arial"/>
                <w:sz w:val="15"/>
              </w:rPr>
              <w:t>22</w:t>
            </w:r>
          </w:p>
        </w:tc>
        <w:tc>
          <w:tcPr>
            <w:tcW w:type="dxa" w:w="1300"/>
            <w:vAlign w:val="top"/>
            <w:tcMar>
              <w:top w:w="70" w:type="dxa"/>
              <w:start w:w="70" w:type="dxa"/>
              <w:bottom w:w="70" w:type="dxa"/>
              <w:end w:w="70" w:type="dxa"/>
            </w:tcMar>
          </w:tcPr>
          <w:p>
            <w:r>
              <w:rPr>
                <w:sz w:val="15"/>
              </w:rPr>
              <w:t>ClinicalTrials.gov, 2026 (NCT06776939)</w:t>
            </w:r>
          </w:p>
        </w:tc>
        <w:tc>
          <w:tcPr>
            <w:tcW w:type="dxa" w:w="1900"/>
            <w:vAlign w:val="top"/>
            <w:tcMar>
              <w:top w:w="70" w:type="dxa"/>
              <w:start w:w="70" w:type="dxa"/>
              <w:bottom w:w="70" w:type="dxa"/>
              <w:end w:w="70" w:type="dxa"/>
            </w:tcMar>
          </w:tcPr>
          <w:p>
            <w:pPr>
              <w:spacing w:after="0" w:before="0" w:line="240" w:lineRule="auto"/>
            </w:pPr>
            <w:r>
              <w:rPr>
                <w:rFonts w:ascii="Arial" w:hAnsi="Arial"/>
                <w:sz w:val="15"/>
              </w:rPr>
              <w:t>Active clinical trial registry</w:t>
            </w:r>
          </w:p>
        </w:tc>
        <w:tc>
          <w:tcPr>
            <w:tcW w:type="dxa" w:w="1800"/>
            <w:vAlign w:val="top"/>
            <w:tcMar>
              <w:top w:w="70" w:type="dxa"/>
              <w:start w:w="70" w:type="dxa"/>
              <w:bottom w:w="70" w:type="dxa"/>
              <w:end w:w="70" w:type="dxa"/>
            </w:tcMar>
          </w:tcPr>
          <w:p>
            <w:r>
              <w:rPr>
                <w:sz w:val="15"/>
              </w:rPr>
              <w:t>Adults with tracheostomy weaning from invasive mechanical ventilation.</w:t>
            </w:r>
          </w:p>
        </w:tc>
        <w:tc>
          <w:tcPr>
            <w:tcW w:type="dxa" w:w="3500"/>
            <w:vAlign w:val="top"/>
            <w:tcMar>
              <w:top w:w="70" w:type="dxa"/>
              <w:start w:w="70" w:type="dxa"/>
              <w:bottom w:w="70" w:type="dxa"/>
              <w:end w:w="70" w:type="dxa"/>
            </w:tcMar>
          </w:tcPr>
          <w:p>
            <w:pPr>
              <w:spacing w:after="0" w:before="0" w:line="240" w:lineRule="auto"/>
            </w:pPr>
            <w:r>
              <w:rPr>
                <w:rFonts w:ascii="Arial" w:hAnsi="Arial"/>
                <w:sz w:val="15"/>
              </w:rPr>
              <w:t>Planned outcomes include sputum viscoelasticity, respiratory effort, dyspnea, and oxygenation. No results or safety data were available at the search date.</w:t>
            </w:r>
          </w:p>
        </w:tc>
      </w:tr>
      <w:tr>
        <w:trPr>
          <w:cantSplit/>
        </w:trPr>
        <w:tc>
          <w:tcPr>
            <w:tcW w:type="dxa" w:w="650"/>
            <w:vAlign w:val="top"/>
            <w:tcMar>
              <w:top w:w="70" w:type="dxa"/>
              <w:start w:w="70" w:type="dxa"/>
              <w:bottom w:w="70" w:type="dxa"/>
              <w:end w:w="70" w:type="dxa"/>
            </w:tcMar>
          </w:tcPr>
          <w:p>
            <w:pPr>
              <w:spacing w:after="0" w:before="0" w:line="240" w:lineRule="auto"/>
            </w:pPr>
            <w:r>
              <w:rPr>
                <w:rFonts w:ascii="Arial" w:hAnsi="Arial"/>
                <w:sz w:val="15"/>
              </w:rPr>
              <w:t>23</w:t>
            </w:r>
          </w:p>
        </w:tc>
        <w:tc>
          <w:tcPr>
            <w:tcW w:type="dxa" w:w="1300"/>
            <w:vAlign w:val="top"/>
            <w:tcMar>
              <w:top w:w="70" w:type="dxa"/>
              <w:start w:w="70" w:type="dxa"/>
              <w:bottom w:w="70" w:type="dxa"/>
              <w:end w:w="70" w:type="dxa"/>
            </w:tcMar>
          </w:tcPr>
          <w:p>
            <w:r>
              <w:rPr>
                <w:sz w:val="15"/>
              </w:rPr>
              <w:t>Fernández Ceballos et al., 2024</w:t>
            </w:r>
          </w:p>
        </w:tc>
        <w:tc>
          <w:tcPr>
            <w:tcW w:type="dxa" w:w="1900"/>
            <w:vAlign w:val="top"/>
            <w:tcMar>
              <w:top w:w="70" w:type="dxa"/>
              <w:start w:w="70" w:type="dxa"/>
              <w:bottom w:w="70" w:type="dxa"/>
              <w:end w:w="70" w:type="dxa"/>
            </w:tcMar>
          </w:tcPr>
          <w:p>
            <w:pPr>
              <w:spacing w:after="0" w:before="0" w:line="240" w:lineRule="auto"/>
            </w:pPr>
            <w:r>
              <w:rPr>
                <w:rFonts w:ascii="Arial" w:hAnsi="Arial"/>
                <w:sz w:val="15"/>
              </w:rPr>
              <w:t>Scientific letter/randomized crossover physiology study in tracheostomized adults at two tertiary hospitals during weaning.</w:t>
            </w:r>
          </w:p>
        </w:tc>
        <w:tc>
          <w:tcPr>
            <w:tcW w:type="dxa" w:w="1800"/>
            <w:vAlign w:val="top"/>
            <w:tcMar>
              <w:top w:w="70" w:type="dxa"/>
              <w:start w:w="70" w:type="dxa"/>
              <w:bottom w:w="70" w:type="dxa"/>
              <w:end w:w="70" w:type="dxa"/>
            </w:tcMar>
          </w:tcPr>
          <w:p>
            <w:r>
              <w:rPr>
                <w:sz w:val="15"/>
              </w:rPr>
              <w:t>Tracheostomized adults at two tertiary hospitals during weaning.</w:t>
            </w:r>
          </w:p>
        </w:tc>
        <w:tc>
          <w:tcPr>
            <w:tcW w:type="dxa" w:w="3500"/>
            <w:vAlign w:val="top"/>
            <w:tcMar>
              <w:top w:w="70" w:type="dxa"/>
              <w:start w:w="70" w:type="dxa"/>
              <w:bottom w:w="70" w:type="dxa"/>
              <w:end w:w="70" w:type="dxa"/>
            </w:tcMar>
          </w:tcPr>
          <w:p>
            <w:pPr>
              <w:spacing w:after="0" w:before="0" w:line="240" w:lineRule="auto"/>
            </w:pPr>
            <w:r>
              <w:rPr>
                <w:rFonts w:ascii="Arial" w:hAnsi="Arial"/>
                <w:sz w:val="15"/>
              </w:rPr>
              <w:t>Assessed diaphragm thickening fraction, diaphragm excursion, lung ultrasound, gas exchange, and respiratory pattern over time. The brief report provides adult diaphragm-ultrasound evidence but does not establish a definitive clinical outcome benefit; no adverse events were described.</w:t>
            </w:r>
          </w:p>
        </w:tc>
      </w:tr>
      <w:tr>
        <w:trPr>
          <w:cantSplit/>
        </w:trPr>
        <w:tc>
          <w:tcPr>
            <w:tcW w:type="dxa" w:w="650"/>
            <w:vAlign w:val="top"/>
            <w:tcMar>
              <w:top w:w="70" w:type="dxa"/>
              <w:start w:w="70" w:type="dxa"/>
              <w:bottom w:w="70" w:type="dxa"/>
              <w:end w:w="70" w:type="dxa"/>
            </w:tcMar>
          </w:tcPr>
          <w:p>
            <w:pPr>
              <w:spacing w:after="0" w:before="0" w:line="240" w:lineRule="auto"/>
            </w:pPr>
            <w:r>
              <w:rPr>
                <w:rFonts w:ascii="Arial" w:hAnsi="Arial"/>
                <w:sz w:val="15"/>
              </w:rPr>
              <w:t>24</w:t>
            </w:r>
          </w:p>
        </w:tc>
        <w:tc>
          <w:tcPr>
            <w:tcW w:type="dxa" w:w="1300"/>
            <w:vAlign w:val="top"/>
            <w:tcMar>
              <w:top w:w="70" w:type="dxa"/>
              <w:start w:w="70" w:type="dxa"/>
              <w:bottom w:w="70" w:type="dxa"/>
              <w:end w:w="70" w:type="dxa"/>
            </w:tcMar>
          </w:tcPr>
          <w:p>
            <w:pPr>
              <w:spacing w:after="0" w:before="0" w:line="240" w:lineRule="auto"/>
            </w:pPr>
            <w:r>
              <w:rPr>
                <w:rFonts w:ascii="Arial" w:hAnsi="Arial"/>
                <w:sz w:val="15"/>
              </w:rPr>
              <w:t>Mitaka et al., 2018</w:t>
            </w:r>
          </w:p>
        </w:tc>
        <w:tc>
          <w:tcPr>
            <w:tcW w:type="dxa" w:w="1900"/>
            <w:vAlign w:val="top"/>
            <w:tcMar>
              <w:top w:w="70" w:type="dxa"/>
              <w:start w:w="70" w:type="dxa"/>
              <w:bottom w:w="70" w:type="dxa"/>
              <w:end w:w="70" w:type="dxa"/>
            </w:tcMar>
          </w:tcPr>
          <w:p>
            <w:pPr>
              <w:spacing w:after="0" w:before="0" w:line="240" w:lineRule="auto"/>
            </w:pPr>
            <w:r>
              <w:rPr>
                <w:rFonts w:ascii="Arial" w:hAnsi="Arial"/>
                <w:sz w:val="15"/>
              </w:rPr>
              <w:t>Two adult postoperative case reports with restrictive pulmonary dysfunction and prolonged ventilation.</w:t>
            </w:r>
          </w:p>
        </w:tc>
        <w:tc>
          <w:tcPr>
            <w:tcW w:type="dxa" w:w="1800"/>
            <w:vAlign w:val="top"/>
            <w:tcMar>
              <w:top w:w="70" w:type="dxa"/>
              <w:start w:w="70" w:type="dxa"/>
              <w:bottom w:w="70" w:type="dxa"/>
              <w:end w:w="70" w:type="dxa"/>
            </w:tcMar>
          </w:tcPr>
          <w:p>
            <w:r>
              <w:rPr>
                <w:sz w:val="15"/>
              </w:rPr>
              <w:t>Two postoperative adults with restrictive pulmonary dysfunction and prolonged ventilation.</w:t>
            </w:r>
          </w:p>
        </w:tc>
        <w:tc>
          <w:tcPr>
            <w:tcW w:type="dxa" w:w="3500"/>
            <w:vAlign w:val="top"/>
            <w:tcMar>
              <w:top w:w="70" w:type="dxa"/>
              <w:start w:w="70" w:type="dxa"/>
              <w:bottom w:w="70" w:type="dxa"/>
              <w:end w:w="70" w:type="dxa"/>
            </w:tcMar>
          </w:tcPr>
          <w:p>
            <w:pPr>
              <w:spacing w:after="0" w:before="0" w:line="240" w:lineRule="auto"/>
            </w:pPr>
            <w:r>
              <w:rPr>
                <w:rFonts w:ascii="Arial" w:hAnsi="Arial"/>
                <w:sz w:val="15"/>
              </w:rPr>
              <w:t>Both patients were weaned over 16 and 12 days. Airway pressure remained positive and increased with flow, suggesting possible reduction in inspiratory effort. No adverse events were highlighted.</w:t>
            </w:r>
          </w:p>
        </w:tc>
      </w:tr>
      <w:tr>
        <w:trPr>
          <w:cantSplit/>
        </w:trPr>
        <w:tc>
          <w:tcPr>
            <w:tcW w:type="dxa" w:w="650"/>
            <w:vAlign w:val="top"/>
            <w:tcMar>
              <w:top w:w="70" w:type="dxa"/>
              <w:start w:w="70" w:type="dxa"/>
              <w:bottom w:w="70" w:type="dxa"/>
              <w:end w:w="70" w:type="dxa"/>
            </w:tcMar>
          </w:tcPr>
          <w:p>
            <w:pPr>
              <w:spacing w:after="0" w:before="0" w:line="240" w:lineRule="auto"/>
            </w:pPr>
            <w:r>
              <w:rPr>
                <w:rFonts w:ascii="Arial" w:hAnsi="Arial"/>
                <w:sz w:val="15"/>
              </w:rPr>
              <w:t>25</w:t>
            </w:r>
          </w:p>
        </w:tc>
        <w:tc>
          <w:tcPr>
            <w:tcW w:type="dxa" w:w="1300"/>
            <w:vAlign w:val="top"/>
            <w:tcMar>
              <w:top w:w="70" w:type="dxa"/>
              <w:start w:w="70" w:type="dxa"/>
              <w:bottom w:w="70" w:type="dxa"/>
              <w:end w:w="70" w:type="dxa"/>
            </w:tcMar>
          </w:tcPr>
          <w:p>
            <w:pPr>
              <w:spacing w:after="0" w:before="0" w:line="240" w:lineRule="auto"/>
            </w:pPr>
            <w:r>
              <w:rPr>
                <w:rFonts w:ascii="Arial" w:hAnsi="Arial"/>
                <w:sz w:val="15"/>
              </w:rPr>
              <w:t>Hou et al., 2026</w:t>
            </w:r>
          </w:p>
        </w:tc>
        <w:tc>
          <w:tcPr>
            <w:tcW w:type="dxa" w:w="1900"/>
            <w:vAlign w:val="top"/>
            <w:tcMar>
              <w:top w:w="70" w:type="dxa"/>
              <w:start w:w="70" w:type="dxa"/>
              <w:bottom w:w="70" w:type="dxa"/>
              <w:end w:w="70" w:type="dxa"/>
            </w:tcMar>
          </w:tcPr>
          <w:p>
            <w:pPr>
              <w:spacing w:after="0" w:before="0" w:line="240" w:lineRule="auto"/>
            </w:pPr>
            <w:r>
              <w:rPr>
                <w:rFonts w:ascii="Arial" w:hAnsi="Arial"/>
                <w:sz w:val="15"/>
              </w:rPr>
              <w:t>Bench/preclinical validation using high-fidelity COPD tracheostomy models.</w:t>
            </w:r>
          </w:p>
        </w:tc>
        <w:tc>
          <w:tcPr>
            <w:tcW w:type="dxa" w:w="1800"/>
            <w:vAlign w:val="top"/>
            <w:tcMar>
              <w:top w:w="70" w:type="dxa"/>
              <w:start w:w="70" w:type="dxa"/>
              <w:bottom w:w="70" w:type="dxa"/>
              <w:end w:w="70" w:type="dxa"/>
            </w:tcMar>
          </w:tcPr>
          <w:p>
            <w:r>
              <w:rPr>
                <w:sz w:val="15"/>
              </w:rPr>
              <w:t>High-fidelity COPD tracheostomy models.</w:t>
            </w:r>
          </w:p>
        </w:tc>
        <w:tc>
          <w:tcPr>
            <w:tcW w:type="dxa" w:w="3500"/>
            <w:vAlign w:val="top"/>
            <w:tcMar>
              <w:top w:w="70" w:type="dxa"/>
              <w:start w:w="70" w:type="dxa"/>
              <w:bottom w:w="70" w:type="dxa"/>
              <w:end w:w="70" w:type="dxa"/>
            </w:tcMar>
          </w:tcPr>
          <w:p>
            <w:pPr>
              <w:spacing w:after="0" w:before="0" w:line="240" w:lineRule="auto"/>
            </w:pPr>
            <w:r>
              <w:rPr>
                <w:rFonts w:ascii="Arial" w:hAnsi="Arial"/>
                <w:sz w:val="15"/>
              </w:rPr>
              <w:t>The novel interface generated higher PEEP and functional residual capacity and slightly reduced tidal volume. Authors cautioned that in-vitro pressure effects should not be interpreted as clinical benefit.</w:t>
            </w:r>
          </w:p>
        </w:tc>
      </w:tr>
      <w:tr>
        <w:trPr>
          <w:cantSplit/>
        </w:trPr>
        <w:tc>
          <w:tcPr>
            <w:tcW w:type="dxa" w:w="650"/>
            <w:vAlign w:val="top"/>
            <w:tcMar>
              <w:top w:w="70" w:type="dxa"/>
              <w:start w:w="70" w:type="dxa"/>
              <w:bottom w:w="70" w:type="dxa"/>
              <w:end w:w="70" w:type="dxa"/>
            </w:tcMar>
          </w:tcPr>
          <w:p>
            <w:pPr>
              <w:spacing w:after="0" w:before="0" w:line="240" w:lineRule="auto"/>
            </w:pPr>
            <w:r>
              <w:rPr>
                <w:rFonts w:ascii="Arial" w:hAnsi="Arial"/>
                <w:sz w:val="15"/>
              </w:rPr>
              <w:t>26</w:t>
            </w:r>
          </w:p>
        </w:tc>
        <w:tc>
          <w:tcPr>
            <w:tcW w:type="dxa" w:w="1300"/>
            <w:vAlign w:val="top"/>
            <w:tcMar>
              <w:top w:w="70" w:type="dxa"/>
              <w:start w:w="70" w:type="dxa"/>
              <w:bottom w:w="70" w:type="dxa"/>
              <w:end w:w="70" w:type="dxa"/>
            </w:tcMar>
          </w:tcPr>
          <w:p>
            <w:pPr>
              <w:spacing w:after="0" w:before="0" w:line="240" w:lineRule="auto"/>
            </w:pPr>
            <w:r>
              <w:rPr>
                <w:rFonts w:ascii="Arial" w:hAnsi="Arial"/>
                <w:sz w:val="15"/>
              </w:rPr>
              <w:t>Janssen et al., 2024</w:t>
            </w:r>
          </w:p>
        </w:tc>
        <w:tc>
          <w:tcPr>
            <w:tcW w:type="dxa" w:w="1900"/>
            <w:vAlign w:val="top"/>
            <w:tcMar>
              <w:top w:w="70" w:type="dxa"/>
              <w:start w:w="70" w:type="dxa"/>
              <w:bottom w:w="70" w:type="dxa"/>
              <w:end w:w="70" w:type="dxa"/>
            </w:tcMar>
          </w:tcPr>
          <w:p>
            <w:pPr>
              <w:spacing w:after="0" w:before="0" w:line="240" w:lineRule="auto"/>
            </w:pPr>
            <w:r>
              <w:rPr>
                <w:rFonts w:ascii="Arial" w:hAnsi="Arial"/>
                <w:sz w:val="15"/>
              </w:rPr>
              <w:t>Systematic review of five physiologic studies in critically ill tracheostomized adults during weaning.</w:t>
            </w:r>
          </w:p>
        </w:tc>
        <w:tc>
          <w:tcPr>
            <w:tcW w:type="dxa" w:w="1800"/>
            <w:vAlign w:val="top"/>
            <w:tcMar>
              <w:top w:w="70" w:type="dxa"/>
              <w:start w:w="70" w:type="dxa"/>
              <w:bottom w:w="70" w:type="dxa"/>
              <w:end w:w="70" w:type="dxa"/>
            </w:tcMar>
          </w:tcPr>
          <w:p>
            <w:r>
              <w:rPr>
                <w:sz w:val="15"/>
              </w:rPr>
              <w:t>Five adult physiologic studies in critically ill tracheostomized patients during weaning.</w:t>
            </w:r>
          </w:p>
        </w:tc>
        <w:tc>
          <w:tcPr>
            <w:tcW w:type="dxa" w:w="3500"/>
            <w:vAlign w:val="top"/>
            <w:tcMar>
              <w:top w:w="70" w:type="dxa"/>
              <w:start w:w="70" w:type="dxa"/>
              <w:bottom w:w="70" w:type="dxa"/>
              <w:end w:w="70" w:type="dxa"/>
            </w:tcMar>
          </w:tcPr>
          <w:p>
            <w:pPr>
              <w:spacing w:after="0" w:before="0" w:line="240" w:lineRule="auto"/>
            </w:pPr>
            <w:r>
              <w:rPr>
                <w:rFonts w:ascii="Arial" w:hAnsi="Arial"/>
                <w:sz w:val="15"/>
              </w:rPr>
              <w:t>Improved oxygenation was the most consistent signal; respiratory effort, lung aeration, neuroventilatory drive, ventilation, and carbon dioxide outcomes were generally similar. Identified sputum and patient-centered outcomes as research gaps.</w:t>
            </w:r>
          </w:p>
        </w:tc>
      </w:tr>
      <w:tr>
        <w:trPr>
          <w:cantSplit/>
        </w:trPr>
        <w:tc>
          <w:tcPr>
            <w:tcW w:type="dxa" w:w="650"/>
            <w:vAlign w:val="top"/>
            <w:tcMar>
              <w:top w:w="70" w:type="dxa"/>
              <w:start w:w="70" w:type="dxa"/>
              <w:bottom w:w="70" w:type="dxa"/>
              <w:end w:w="70" w:type="dxa"/>
            </w:tcMar>
          </w:tcPr>
          <w:p>
            <w:pPr>
              <w:spacing w:after="0" w:before="0" w:line="240" w:lineRule="auto"/>
            </w:pPr>
            <w:r>
              <w:rPr>
                <w:rFonts w:ascii="Arial" w:hAnsi="Arial"/>
                <w:sz w:val="15"/>
              </w:rPr>
              <w:t>27</w:t>
            </w:r>
          </w:p>
        </w:tc>
        <w:tc>
          <w:tcPr>
            <w:tcW w:type="dxa" w:w="1300"/>
            <w:vAlign w:val="top"/>
            <w:tcMar>
              <w:top w:w="70" w:type="dxa"/>
              <w:start w:w="70" w:type="dxa"/>
              <w:bottom w:w="70" w:type="dxa"/>
              <w:end w:w="70" w:type="dxa"/>
            </w:tcMar>
          </w:tcPr>
          <w:p>
            <w:pPr>
              <w:spacing w:after="0" w:before="0" w:line="240" w:lineRule="auto"/>
            </w:pPr>
            <w:r>
              <w:rPr>
                <w:rFonts w:ascii="Arial" w:hAnsi="Arial"/>
                <w:sz w:val="15"/>
              </w:rPr>
              <w:t>Lytra et al., 2024</w:t>
            </w:r>
          </w:p>
        </w:tc>
        <w:tc>
          <w:tcPr>
            <w:tcW w:type="dxa" w:w="1900"/>
            <w:vAlign w:val="top"/>
            <w:tcMar>
              <w:top w:w="70" w:type="dxa"/>
              <w:start w:w="70" w:type="dxa"/>
              <w:bottom w:w="70" w:type="dxa"/>
              <w:end w:w="70" w:type="dxa"/>
            </w:tcMar>
          </w:tcPr>
          <w:p>
            <w:pPr>
              <w:spacing w:after="0" w:before="0" w:line="240" w:lineRule="auto"/>
            </w:pPr>
            <w:r>
              <w:rPr>
                <w:rFonts w:ascii="Arial" w:hAnsi="Arial"/>
                <w:sz w:val="15"/>
              </w:rPr>
              <w:t>Randomized physiologic crossover study</w:t>
            </w:r>
          </w:p>
        </w:tc>
        <w:tc>
          <w:tcPr>
            <w:tcW w:type="dxa" w:w="1800"/>
            <w:vAlign w:val="top"/>
            <w:tcMar>
              <w:top w:w="70" w:type="dxa"/>
              <w:start w:w="70" w:type="dxa"/>
              <w:bottom w:w="70" w:type="dxa"/>
              <w:end w:w="70" w:type="dxa"/>
            </w:tcMar>
          </w:tcPr>
          <w:p>
            <w:r>
              <w:rPr>
                <w:sz w:val="15"/>
              </w:rPr>
              <w:t>11 adults with prolonged mechanical ventilation (19 sessions).</w:t>
            </w:r>
          </w:p>
        </w:tc>
        <w:tc>
          <w:tcPr>
            <w:tcW w:type="dxa" w:w="3500"/>
            <w:vAlign w:val="top"/>
            <w:tcMar>
              <w:top w:w="70" w:type="dxa"/>
              <w:start w:w="70" w:type="dxa"/>
              <w:bottom w:w="70" w:type="dxa"/>
              <w:end w:w="70" w:type="dxa"/>
            </w:tcMar>
          </w:tcPr>
          <w:p>
            <w:pPr>
              <w:spacing w:after="0" w:before="0" w:line="240" w:lineRule="auto"/>
            </w:pPr>
            <w:r>
              <w:rPr>
                <w:rFonts w:ascii="Arial" w:hAnsi="Arial"/>
                <w:sz w:val="15"/>
              </w:rPr>
              <w:t>HFTO increased tidal volume, minute ventilation, PaO2, and diaphragm excursion and reduced rapid shallow breathing index; diaphragm thickening fraction did not meaningfully change. Sessions were completed uneventfully.</w:t>
            </w:r>
          </w:p>
        </w:tc>
      </w:tr>
      <w:tr>
        <w:trPr>
          <w:cantSplit/>
        </w:trPr>
        <w:tc>
          <w:tcPr>
            <w:tcW w:type="dxa" w:w="650"/>
            <w:vAlign w:val="top"/>
            <w:tcMar>
              <w:top w:w="70" w:type="dxa"/>
              <w:start w:w="70" w:type="dxa"/>
              <w:bottom w:w="70" w:type="dxa"/>
              <w:end w:w="70" w:type="dxa"/>
            </w:tcMar>
          </w:tcPr>
          <w:p>
            <w:pPr>
              <w:spacing w:after="0" w:before="0" w:line="240" w:lineRule="auto"/>
            </w:pPr>
            <w:r>
              <w:rPr>
                <w:rFonts w:ascii="Arial" w:hAnsi="Arial"/>
                <w:sz w:val="15"/>
              </w:rPr>
              <w:t>28</w:t>
            </w:r>
          </w:p>
        </w:tc>
        <w:tc>
          <w:tcPr>
            <w:tcW w:type="dxa" w:w="1300"/>
            <w:vAlign w:val="top"/>
            <w:tcMar>
              <w:top w:w="70" w:type="dxa"/>
              <w:start w:w="70" w:type="dxa"/>
              <w:bottom w:w="70" w:type="dxa"/>
              <w:end w:w="70" w:type="dxa"/>
            </w:tcMar>
          </w:tcPr>
          <w:p>
            <w:pPr>
              <w:spacing w:after="0" w:before="0" w:line="240" w:lineRule="auto"/>
            </w:pPr>
            <w:r>
              <w:rPr>
                <w:rFonts w:ascii="Arial" w:hAnsi="Arial"/>
                <w:sz w:val="15"/>
              </w:rPr>
              <w:t>Ramachandran et al., 2021</w:t>
            </w:r>
          </w:p>
        </w:tc>
        <w:tc>
          <w:tcPr>
            <w:tcW w:type="dxa" w:w="1900"/>
            <w:vAlign w:val="top"/>
            <w:tcMar>
              <w:top w:w="70" w:type="dxa"/>
              <w:start w:w="70" w:type="dxa"/>
              <w:bottom w:w="70" w:type="dxa"/>
              <w:end w:w="70" w:type="dxa"/>
            </w:tcMar>
          </w:tcPr>
          <w:p>
            <w:pPr>
              <w:spacing w:after="0" w:before="0" w:line="240" w:lineRule="auto"/>
            </w:pPr>
            <w:r>
              <w:rPr>
                <w:rFonts w:ascii="Arial" w:hAnsi="Arial"/>
                <w:sz w:val="15"/>
              </w:rPr>
              <w:t>Case series</w:t>
            </w:r>
          </w:p>
        </w:tc>
        <w:tc>
          <w:tcPr>
            <w:tcW w:type="dxa" w:w="1800"/>
            <w:vAlign w:val="top"/>
            <w:tcMar>
              <w:top w:w="70" w:type="dxa"/>
              <w:start w:w="70" w:type="dxa"/>
              <w:bottom w:w="70" w:type="dxa"/>
              <w:end w:w="70" w:type="dxa"/>
            </w:tcMar>
          </w:tcPr>
          <w:p>
            <w:r>
              <w:rPr>
                <w:sz w:val="15"/>
              </w:rPr>
              <w:t>Two adults with prolonged ventilation and difficult weaning.</w:t>
            </w:r>
          </w:p>
        </w:tc>
        <w:tc>
          <w:tcPr>
            <w:tcW w:type="dxa" w:w="3500"/>
            <w:vAlign w:val="top"/>
            <w:tcMar>
              <w:top w:w="70" w:type="dxa"/>
              <w:start w:w="70" w:type="dxa"/>
              <w:bottom w:w="70" w:type="dxa"/>
              <w:end w:w="70" w:type="dxa"/>
            </w:tcMar>
          </w:tcPr>
          <w:p>
            <w:pPr>
              <w:spacing w:after="0" w:before="0" w:line="240" w:lineRule="auto"/>
            </w:pPr>
            <w:r>
              <w:rPr>
                <w:rFonts w:ascii="Arial" w:hAnsi="Arial"/>
                <w:sz w:val="15"/>
              </w:rPr>
              <w:t>Both cases used HFTO as a bridge, with improved oxygenation trends and successful progression through the weaning pathway. No major adverse event was highlighted.</w:t>
            </w:r>
          </w:p>
        </w:tc>
      </w:tr>
      <w:tr>
        <w:trPr>
          <w:cantSplit/>
        </w:trPr>
        <w:tc>
          <w:tcPr>
            <w:tcW w:type="dxa" w:w="650"/>
            <w:vAlign w:val="top"/>
            <w:tcMar>
              <w:top w:w="70" w:type="dxa"/>
              <w:start w:w="70" w:type="dxa"/>
              <w:bottom w:w="70" w:type="dxa"/>
              <w:end w:w="70" w:type="dxa"/>
            </w:tcMar>
          </w:tcPr>
          <w:p>
            <w:pPr>
              <w:spacing w:after="0" w:before="0" w:line="240" w:lineRule="auto"/>
            </w:pPr>
            <w:r>
              <w:rPr>
                <w:rFonts w:ascii="Arial" w:hAnsi="Arial"/>
                <w:sz w:val="15"/>
              </w:rPr>
              <w:t>29</w:t>
            </w:r>
          </w:p>
        </w:tc>
        <w:tc>
          <w:tcPr>
            <w:tcW w:type="dxa" w:w="1300"/>
            <w:vAlign w:val="top"/>
            <w:tcMar>
              <w:top w:w="70" w:type="dxa"/>
              <w:start w:w="70" w:type="dxa"/>
              <w:bottom w:w="70" w:type="dxa"/>
              <w:end w:w="70" w:type="dxa"/>
            </w:tcMar>
          </w:tcPr>
          <w:p>
            <w:pPr>
              <w:spacing w:after="0" w:before="0" w:line="240" w:lineRule="auto"/>
            </w:pPr>
            <w:r>
              <w:rPr>
                <w:rFonts w:ascii="Arial" w:hAnsi="Arial"/>
                <w:sz w:val="15"/>
              </w:rPr>
              <w:t>Vadi et al., 2021</w:t>
            </w:r>
          </w:p>
        </w:tc>
        <w:tc>
          <w:tcPr>
            <w:tcW w:type="dxa" w:w="1900"/>
            <w:vAlign w:val="top"/>
            <w:tcMar>
              <w:top w:w="70" w:type="dxa"/>
              <w:start w:w="70" w:type="dxa"/>
              <w:bottom w:w="70" w:type="dxa"/>
              <w:end w:w="70" w:type="dxa"/>
            </w:tcMar>
          </w:tcPr>
          <w:p>
            <w:pPr>
              <w:spacing w:after="0" w:before="0" w:line="240" w:lineRule="auto"/>
            </w:pPr>
            <w:r>
              <w:rPr>
                <w:rFonts w:ascii="Arial" w:hAnsi="Arial"/>
                <w:sz w:val="15"/>
              </w:rPr>
              <w:t>Case series</w:t>
            </w:r>
          </w:p>
        </w:tc>
        <w:tc>
          <w:tcPr>
            <w:tcW w:type="dxa" w:w="1800"/>
            <w:vAlign w:val="top"/>
            <w:tcMar>
              <w:top w:w="70" w:type="dxa"/>
              <w:start w:w="70" w:type="dxa"/>
              <w:bottom w:w="70" w:type="dxa"/>
              <w:end w:w="70" w:type="dxa"/>
            </w:tcMar>
          </w:tcPr>
          <w:p>
            <w:r>
              <w:rPr>
                <w:sz w:val="15"/>
              </w:rPr>
              <w:t>Two adults with COVID-19-associated ARDS and tracheostomy.</w:t>
            </w:r>
          </w:p>
        </w:tc>
        <w:tc>
          <w:tcPr>
            <w:tcW w:type="dxa" w:w="3500"/>
            <w:vAlign w:val="top"/>
            <w:tcMar>
              <w:top w:w="70" w:type="dxa"/>
              <w:start w:w="70" w:type="dxa"/>
              <w:bottom w:w="70" w:type="dxa"/>
              <w:end w:w="70" w:type="dxa"/>
            </w:tcMar>
          </w:tcPr>
          <w:p>
            <w:pPr>
              <w:spacing w:after="0" w:before="0" w:line="240" w:lineRule="auto"/>
            </w:pPr>
            <w:r>
              <w:rPr>
                <w:sz w:val="15"/>
              </w:rPr>
              <w:t>Both patients were successfully liberated from ventilation. The authors described the approach as feasible, and no major adverse event was highlighted.</w:t>
            </w:r>
          </w:p>
        </w:tc>
      </w:tr>
      <w:tr>
        <w:trPr>
          <w:cantSplit/>
        </w:trPr>
        <w:tc>
          <w:tcPr>
            <w:tcW w:type="dxa" w:w="650"/>
            <w:vAlign w:val="top"/>
            <w:tcMar>
              <w:top w:w="70" w:type="dxa"/>
              <w:start w:w="70" w:type="dxa"/>
              <w:bottom w:w="70" w:type="dxa"/>
              <w:end w:w="70" w:type="dxa"/>
            </w:tcMar>
          </w:tcPr>
          <w:p>
            <w:pPr>
              <w:spacing w:after="0" w:before="0" w:line="240" w:lineRule="auto"/>
            </w:pPr>
            <w:r>
              <w:rPr>
                <w:rFonts w:ascii="Arial" w:hAnsi="Arial"/>
                <w:sz w:val="15"/>
              </w:rPr>
              <w:t>30</w:t>
            </w:r>
          </w:p>
        </w:tc>
        <w:tc>
          <w:tcPr>
            <w:tcW w:type="dxa" w:w="1300"/>
            <w:vAlign w:val="top"/>
            <w:tcMar>
              <w:top w:w="70" w:type="dxa"/>
              <w:start w:w="70" w:type="dxa"/>
              <w:bottom w:w="70" w:type="dxa"/>
              <w:end w:w="70" w:type="dxa"/>
            </w:tcMar>
          </w:tcPr>
          <w:p>
            <w:pPr>
              <w:spacing w:after="0" w:before="0" w:line="240" w:lineRule="auto"/>
            </w:pPr>
            <w:r>
              <w:rPr>
                <w:rFonts w:ascii="Arial" w:hAnsi="Arial"/>
                <w:sz w:val="15"/>
              </w:rPr>
              <w:t>Skok et al., 2021</w:t>
            </w:r>
          </w:p>
        </w:tc>
        <w:tc>
          <w:tcPr>
            <w:tcW w:type="dxa" w:w="1900"/>
            <w:vAlign w:val="top"/>
            <w:tcMar>
              <w:top w:w="70" w:type="dxa"/>
              <w:start w:w="70" w:type="dxa"/>
              <w:bottom w:w="70" w:type="dxa"/>
              <w:end w:w="70" w:type="dxa"/>
            </w:tcMar>
          </w:tcPr>
          <w:p>
            <w:pPr>
              <w:spacing w:after="0" w:before="0" w:line="240" w:lineRule="auto"/>
            </w:pPr>
            <w:r>
              <w:rPr>
                <w:rFonts w:ascii="Arial" w:hAnsi="Arial"/>
                <w:sz w:val="15"/>
              </w:rPr>
              <w:t>Two adult case reports of difficult mechanical-ventilation weaning.</w:t>
            </w:r>
          </w:p>
        </w:tc>
        <w:tc>
          <w:tcPr>
            <w:tcW w:type="dxa" w:w="1800"/>
            <w:vAlign w:val="top"/>
            <w:tcMar>
              <w:top w:w="70" w:type="dxa"/>
              <w:start w:w="70" w:type="dxa"/>
              <w:bottom w:w="70" w:type="dxa"/>
              <w:end w:w="70" w:type="dxa"/>
            </w:tcMar>
          </w:tcPr>
          <w:p>
            <w:r>
              <w:rPr>
                <w:sz w:val="15"/>
              </w:rPr>
              <w:t>Two adults with difficult mechanical-ventilation weaning.</w:t>
            </w:r>
          </w:p>
        </w:tc>
        <w:tc>
          <w:tcPr>
            <w:tcW w:type="dxa" w:w="3500"/>
            <w:vAlign w:val="top"/>
            <w:tcMar>
              <w:top w:w="70" w:type="dxa"/>
              <w:start w:w="70" w:type="dxa"/>
              <w:bottom w:w="70" w:type="dxa"/>
              <w:end w:w="70" w:type="dxa"/>
            </w:tcMar>
          </w:tcPr>
          <w:p>
            <w:pPr>
              <w:spacing w:after="0" w:before="0" w:line="240" w:lineRule="auto"/>
            </w:pPr>
            <w:r>
              <w:rPr>
                <w:rFonts w:ascii="Arial" w:hAnsi="Arial"/>
                <w:sz w:val="15"/>
              </w:rPr>
              <w:t>Both patients were successfully weaned and tolerated 4 and 2 days of support without reported adverse effects.</w:t>
            </w:r>
          </w:p>
        </w:tc>
      </w:tr>
      <w:tr>
        <w:trPr>
          <w:cantSplit/>
        </w:trPr>
        <w:tc>
          <w:tcPr>
            <w:tcW w:type="dxa" w:w="650"/>
            <w:vAlign w:val="top"/>
            <w:tcMar>
              <w:top w:w="70" w:type="dxa"/>
              <w:start w:w="70" w:type="dxa"/>
              <w:bottom w:w="70" w:type="dxa"/>
              <w:end w:w="70" w:type="dxa"/>
            </w:tcMar>
          </w:tcPr>
          <w:p>
            <w:pPr>
              <w:spacing w:after="0" w:before="0" w:line="240" w:lineRule="auto"/>
            </w:pPr>
            <w:r>
              <w:rPr>
                <w:rFonts w:ascii="Arial" w:hAnsi="Arial"/>
                <w:sz w:val="15"/>
              </w:rPr>
              <w:t>31</w:t>
            </w:r>
          </w:p>
        </w:tc>
        <w:tc>
          <w:tcPr>
            <w:tcW w:type="dxa" w:w="1300"/>
            <w:vAlign w:val="top"/>
            <w:tcMar>
              <w:top w:w="70" w:type="dxa"/>
              <w:start w:w="70" w:type="dxa"/>
              <w:bottom w:w="70" w:type="dxa"/>
              <w:end w:w="70" w:type="dxa"/>
            </w:tcMar>
          </w:tcPr>
          <w:p>
            <w:pPr>
              <w:spacing w:after="0" w:before="0" w:line="240" w:lineRule="auto"/>
            </w:pPr>
            <w:r>
              <w:rPr>
                <w:rFonts w:ascii="Arial" w:hAnsi="Arial"/>
                <w:sz w:val="15"/>
              </w:rPr>
              <w:t>Su and Peng, 2025</w:t>
            </w:r>
          </w:p>
        </w:tc>
        <w:tc>
          <w:tcPr>
            <w:tcW w:type="dxa" w:w="1900"/>
            <w:vAlign w:val="top"/>
            <w:tcMar>
              <w:top w:w="70" w:type="dxa"/>
              <w:start w:w="70" w:type="dxa"/>
              <w:bottom w:w="70" w:type="dxa"/>
              <w:end w:w="70" w:type="dxa"/>
            </w:tcMar>
          </w:tcPr>
          <w:p>
            <w:pPr>
              <w:spacing w:after="0" w:before="0" w:line="240" w:lineRule="auto"/>
            </w:pPr>
            <w:r>
              <w:rPr>
                <w:rFonts w:ascii="Arial" w:hAnsi="Arial"/>
                <w:sz w:val="15"/>
              </w:rPr>
              <w:t>Conference abstract/controlled study</w:t>
            </w:r>
          </w:p>
        </w:tc>
        <w:tc>
          <w:tcPr>
            <w:tcW w:type="dxa" w:w="1800"/>
            <w:vAlign w:val="top"/>
            <w:tcMar>
              <w:top w:w="70" w:type="dxa"/>
              <w:start w:w="70" w:type="dxa"/>
              <w:bottom w:w="70" w:type="dxa"/>
              <w:end w:w="70" w:type="dxa"/>
            </w:tcMar>
          </w:tcPr>
          <w:p>
            <w:r>
              <w:rPr>
                <w:sz w:val="15"/>
              </w:rPr>
              <w:t>77 adults after weaning (HFTO 29, conventional oxygen 48); allocation by patient/family preference.</w:t>
            </w:r>
          </w:p>
        </w:tc>
        <w:tc>
          <w:tcPr>
            <w:tcW w:type="dxa" w:w="3500"/>
            <w:vAlign w:val="top"/>
            <w:tcMar>
              <w:top w:w="70" w:type="dxa"/>
              <w:start w:w="70" w:type="dxa"/>
              <w:bottom w:w="70" w:type="dxa"/>
              <w:end w:w="70" w:type="dxa"/>
            </w:tcMar>
          </w:tcPr>
          <w:p>
            <w:pPr>
              <w:spacing w:after="0" w:before="0" w:line="240" w:lineRule="auto"/>
            </w:pPr>
            <w:r>
              <w:rPr>
                <w:rFonts w:ascii="Arial" w:hAnsi="Arial"/>
                <w:sz w:val="15"/>
              </w:rPr>
              <w:t>Dyspnea did not differ, but RAND-36 quality-of-life scores were higher with HFTO. Abstract-only and nonrandomized allocation limit inference; no adverse events were reported.</w:t>
            </w:r>
          </w:p>
        </w:tc>
      </w:tr>
      <w:tr>
        <w:trPr>
          <w:cantSplit/>
        </w:trPr>
        <w:tc>
          <w:tcPr>
            <w:tcW w:type="dxa" w:w="650"/>
            <w:vAlign w:val="top"/>
            <w:tcMar>
              <w:top w:w="70" w:type="dxa"/>
              <w:start w:w="70" w:type="dxa"/>
              <w:bottom w:w="70" w:type="dxa"/>
              <w:end w:w="70" w:type="dxa"/>
            </w:tcMar>
          </w:tcPr>
          <w:p>
            <w:pPr>
              <w:spacing w:after="0" w:before="0" w:line="240" w:lineRule="auto"/>
            </w:pPr>
            <w:r>
              <w:rPr>
                <w:rFonts w:ascii="Arial" w:hAnsi="Arial"/>
                <w:sz w:val="15"/>
              </w:rPr>
              <w:t>32</w:t>
            </w:r>
          </w:p>
        </w:tc>
        <w:tc>
          <w:tcPr>
            <w:tcW w:type="dxa" w:w="1300"/>
            <w:vAlign w:val="top"/>
            <w:tcMar>
              <w:top w:w="70" w:type="dxa"/>
              <w:start w:w="70" w:type="dxa"/>
              <w:bottom w:w="70" w:type="dxa"/>
              <w:end w:w="70" w:type="dxa"/>
            </w:tcMar>
          </w:tcPr>
          <w:p>
            <w:pPr>
              <w:spacing w:after="0" w:before="0" w:line="240" w:lineRule="auto"/>
            </w:pPr>
            <w:r>
              <w:rPr>
                <w:rFonts w:ascii="Arial" w:hAnsi="Arial"/>
                <w:sz w:val="15"/>
              </w:rPr>
              <w:t>Lionello et al., 2023</w:t>
            </w:r>
          </w:p>
        </w:tc>
        <w:tc>
          <w:tcPr>
            <w:tcW w:type="dxa" w:w="1900"/>
            <w:vAlign w:val="top"/>
            <w:tcMar>
              <w:top w:w="70" w:type="dxa"/>
              <w:start w:w="70" w:type="dxa"/>
              <w:bottom w:w="70" w:type="dxa"/>
              <w:end w:w="70" w:type="dxa"/>
            </w:tcMar>
          </w:tcPr>
          <w:p>
            <w:pPr>
              <w:spacing w:after="0" w:before="0" w:line="240" w:lineRule="auto"/>
            </w:pPr>
            <w:r>
              <w:rPr>
                <w:rFonts w:ascii="Arial" w:hAnsi="Arial"/>
                <w:sz w:val="15"/>
              </w:rPr>
              <w:t>Prospective comparative brief report</w:t>
            </w:r>
          </w:p>
        </w:tc>
        <w:tc>
          <w:tcPr>
            <w:tcW w:type="dxa" w:w="1800"/>
            <w:vAlign w:val="top"/>
            <w:tcMar>
              <w:top w:w="70" w:type="dxa"/>
              <w:start w:w="70" w:type="dxa"/>
              <w:bottom w:w="70" w:type="dxa"/>
              <w:end w:w="70" w:type="dxa"/>
            </w:tcMar>
          </w:tcPr>
          <w:p>
            <w:r>
              <w:rPr>
                <w:sz w:val="15"/>
              </w:rPr>
              <w:t>14 adult lung-transplant recipients receiving HFTO and 13 receiving conventional oxygen.</w:t>
            </w:r>
          </w:p>
        </w:tc>
        <w:tc>
          <w:tcPr>
            <w:tcW w:type="dxa" w:w="3500"/>
            <w:vAlign w:val="top"/>
            <w:tcMar>
              <w:top w:w="70" w:type="dxa"/>
              <w:start w:w="70" w:type="dxa"/>
              <w:bottom w:w="70" w:type="dxa"/>
              <w:end w:w="70" w:type="dxa"/>
            </w:tcMar>
          </w:tcPr>
          <w:p>
            <w:pPr>
              <w:spacing w:after="0" w:before="0" w:line="240" w:lineRule="auto"/>
            </w:pPr>
            <w:r>
              <w:rPr>
                <w:rFonts w:ascii="Arial" w:hAnsi="Arial"/>
                <w:sz w:val="15"/>
              </w:rPr>
              <w:t>Tracheostomy tube removal occurred in 13 of 14 HFTO patients versus 6 of 13 controls. The setup was described as easy and well tolerated.</w:t>
            </w:r>
          </w:p>
        </w:tc>
      </w:tr>
      <w:tr>
        <w:trPr>
          <w:cantSplit/>
        </w:trPr>
        <w:tc>
          <w:tcPr>
            <w:tcW w:type="dxa" w:w="650"/>
            <w:vAlign w:val="top"/>
            <w:tcMar>
              <w:top w:w="70" w:type="dxa"/>
              <w:start w:w="70" w:type="dxa"/>
              <w:bottom w:w="70" w:type="dxa"/>
              <w:end w:w="70" w:type="dxa"/>
            </w:tcMar>
          </w:tcPr>
          <w:p>
            <w:r>
              <w:rPr>
                <w:sz w:val="15"/>
              </w:rPr>
              <w:t>33</w:t>
            </w:r>
          </w:p>
        </w:tc>
        <w:tc>
          <w:tcPr>
            <w:tcW w:type="dxa" w:w="1300"/>
            <w:vAlign w:val="top"/>
            <w:tcMar>
              <w:top w:w="70" w:type="dxa"/>
              <w:start w:w="70" w:type="dxa"/>
              <w:bottom w:w="70" w:type="dxa"/>
              <w:end w:w="70" w:type="dxa"/>
            </w:tcMar>
          </w:tcPr>
          <w:p>
            <w:r>
              <w:rPr>
                <w:sz w:val="15"/>
              </w:rPr>
              <w:t>Epstein et al., 2020</w:t>
            </w:r>
          </w:p>
        </w:tc>
        <w:tc>
          <w:tcPr>
            <w:tcW w:type="dxa" w:w="1900"/>
            <w:vAlign w:val="top"/>
            <w:tcMar>
              <w:top w:w="70" w:type="dxa"/>
              <w:start w:w="70" w:type="dxa"/>
              <w:bottom w:w="70" w:type="dxa"/>
              <w:end w:w="70" w:type="dxa"/>
            </w:tcMar>
          </w:tcPr>
          <w:p>
            <w:r>
              <w:rPr>
                <w:sz w:val="15"/>
              </w:rPr>
              <w:t>Technical letter describing high-flow tracheal oxygen in tracheostomized patients during the COVID-19 pandemic.</w:t>
            </w:r>
          </w:p>
        </w:tc>
        <w:tc>
          <w:tcPr>
            <w:tcW w:type="dxa" w:w="1800"/>
            <w:vAlign w:val="top"/>
            <w:tcMar>
              <w:top w:w="70" w:type="dxa"/>
              <w:start w:w="70" w:type="dxa"/>
              <w:bottom w:w="70" w:type="dxa"/>
              <w:end w:w="70" w:type="dxa"/>
            </w:tcMar>
          </w:tcPr>
          <w:p>
            <w:r>
              <w:rPr>
                <w:sz w:val="15"/>
              </w:rPr>
              <w:t>Tracheostomized adults during the COVID-19 pandemic; technical/device context.</w:t>
            </w:r>
          </w:p>
        </w:tc>
        <w:tc>
          <w:tcPr>
            <w:tcW w:type="dxa" w:w="3500"/>
            <w:vAlign w:val="top"/>
            <w:tcMar>
              <w:top w:w="70" w:type="dxa"/>
              <w:start w:w="70" w:type="dxa"/>
              <w:bottom w:w="70" w:type="dxa"/>
              <w:end w:w="70" w:type="dxa"/>
            </w:tcMar>
          </w:tcPr>
          <w:p>
            <w:r>
              <w:rPr>
                <w:sz w:val="15"/>
              </w:rPr>
              <w:t>Provided feasibility and implementation information rather than comparative clinical outcomes. Safety concerns relate to device setup and aerosolization; patient-level outcome data were limited.</w:t>
            </w:r>
          </w:p>
        </w:tc>
      </w:tr>
      <w:tr>
        <w:trPr>
          <w:cantSplit/>
        </w:trPr>
        <w:tc>
          <w:tcPr>
            <w:tcW w:type="dxa" w:w="650"/>
            <w:vAlign w:val="top"/>
            <w:tcMar>
              <w:top w:w="70" w:type="dxa"/>
              <w:start w:w="70" w:type="dxa"/>
              <w:bottom w:w="70" w:type="dxa"/>
              <w:end w:w="70" w:type="dxa"/>
            </w:tcMar>
          </w:tcPr>
          <w:p>
            <w:r>
              <w:rPr>
                <w:sz w:val="15"/>
              </w:rPr>
              <w:t>34</w:t>
            </w:r>
          </w:p>
        </w:tc>
        <w:tc>
          <w:tcPr>
            <w:tcW w:type="dxa" w:w="1300"/>
            <w:vAlign w:val="top"/>
            <w:tcMar>
              <w:top w:w="70" w:type="dxa"/>
              <w:start w:w="70" w:type="dxa"/>
              <w:bottom w:w="70" w:type="dxa"/>
              <w:end w:w="70" w:type="dxa"/>
            </w:tcMar>
          </w:tcPr>
          <w:p>
            <w:r>
              <w:rPr>
                <w:sz w:val="15"/>
              </w:rPr>
              <w:t>Cour et al., 2022</w:t>
            </w:r>
          </w:p>
        </w:tc>
        <w:tc>
          <w:tcPr>
            <w:tcW w:type="dxa" w:w="1900"/>
            <w:vAlign w:val="top"/>
            <w:tcMar>
              <w:top w:w="70" w:type="dxa"/>
              <w:start w:w="70" w:type="dxa"/>
              <w:bottom w:w="70" w:type="dxa"/>
              <w:end w:w="70" w:type="dxa"/>
            </w:tcMar>
          </w:tcPr>
          <w:p>
            <w:r>
              <w:rPr>
                <w:sz w:val="15"/>
              </w:rPr>
              <w:t>Bench study using a manikin and lung simulator across seven high-flow devices.</w:t>
            </w:r>
          </w:p>
        </w:tc>
        <w:tc>
          <w:tcPr>
            <w:tcW w:type="dxa" w:w="1800"/>
            <w:vAlign w:val="top"/>
            <w:tcMar>
              <w:top w:w="70" w:type="dxa"/>
              <w:start w:w="70" w:type="dxa"/>
              <w:bottom w:w="70" w:type="dxa"/>
              <w:end w:w="70" w:type="dxa"/>
            </w:tcMar>
          </w:tcPr>
          <w:p>
            <w:r>
              <w:rPr>
                <w:sz w:val="15"/>
              </w:rPr>
              <w:t>Manikin and lung simulator across seven high-flow devices.</w:t>
            </w:r>
          </w:p>
        </w:tc>
        <w:tc>
          <w:tcPr>
            <w:tcW w:type="dxa" w:w="3500"/>
            <w:vAlign w:val="top"/>
            <w:tcMar>
              <w:top w:w="70" w:type="dxa"/>
              <w:start w:w="70" w:type="dxa"/>
              <w:bottom w:w="70" w:type="dxa"/>
              <w:end w:w="70" w:type="dxa"/>
            </w:tcMar>
          </w:tcPr>
          <w:p>
            <w:r>
              <w:rPr>
                <w:sz w:val="15"/>
              </w:rPr>
              <w:t>Measured work of breathing was statistically lower with tracheal delivery for each device, but differences were small and may not be clinically meaningful. No patient safety outcomes.</w:t>
            </w:r>
          </w:p>
        </w:tc>
      </w:tr>
      <w:tr>
        <w:trPr>
          <w:cantSplit/>
        </w:trPr>
        <w:tc>
          <w:tcPr>
            <w:tcW w:type="dxa" w:w="650"/>
            <w:vAlign w:val="top"/>
            <w:tcMar>
              <w:top w:w="70" w:type="dxa"/>
              <w:start w:w="70" w:type="dxa"/>
              <w:bottom w:w="70" w:type="dxa"/>
              <w:end w:w="70" w:type="dxa"/>
            </w:tcMar>
          </w:tcPr>
          <w:p>
            <w:pPr>
              <w:spacing w:after="0" w:before="0" w:line="240" w:lineRule="auto"/>
            </w:pPr>
            <w:r>
              <w:rPr>
                <w:rFonts w:ascii="Arial" w:hAnsi="Arial"/>
                <w:sz w:val="15"/>
              </w:rPr>
              <w:t>35</w:t>
            </w:r>
          </w:p>
        </w:tc>
        <w:tc>
          <w:tcPr>
            <w:tcW w:type="dxa" w:w="1300"/>
            <w:vAlign w:val="top"/>
            <w:tcMar>
              <w:top w:w="70" w:type="dxa"/>
              <w:start w:w="70" w:type="dxa"/>
              <w:bottom w:w="70" w:type="dxa"/>
              <w:end w:w="70" w:type="dxa"/>
            </w:tcMar>
          </w:tcPr>
          <w:p>
            <w:pPr>
              <w:spacing w:after="0" w:before="0" w:line="240" w:lineRule="auto"/>
            </w:pPr>
            <w:r>
              <w:rPr>
                <w:rFonts w:ascii="Arial" w:hAnsi="Arial"/>
                <w:sz w:val="15"/>
              </w:rPr>
              <w:t>Kodamanchili et al., 2024</w:t>
            </w:r>
          </w:p>
        </w:tc>
        <w:tc>
          <w:tcPr>
            <w:tcW w:type="dxa" w:w="1900"/>
            <w:vAlign w:val="top"/>
            <w:tcMar>
              <w:top w:w="70" w:type="dxa"/>
              <w:start w:w="70" w:type="dxa"/>
              <w:bottom w:w="70" w:type="dxa"/>
              <w:end w:w="70" w:type="dxa"/>
            </w:tcMar>
          </w:tcPr>
          <w:p>
            <w:pPr>
              <w:spacing w:after="0" w:before="0" w:line="240" w:lineRule="auto"/>
            </w:pPr>
            <w:r>
              <w:rPr>
                <w:rFonts w:ascii="Arial" w:hAnsi="Arial"/>
                <w:sz w:val="15"/>
              </w:rPr>
              <w:t>Technical letter proposing a catheter mount as a tracheostomy high-flow interface</w:t>
            </w:r>
          </w:p>
        </w:tc>
        <w:tc>
          <w:tcPr>
            <w:tcW w:type="dxa" w:w="1800"/>
            <w:vAlign w:val="top"/>
            <w:tcMar>
              <w:top w:w="70" w:type="dxa"/>
              <w:start w:w="70" w:type="dxa"/>
              <w:bottom w:w="70" w:type="dxa"/>
              <w:end w:w="70" w:type="dxa"/>
            </w:tcMar>
          </w:tcPr>
          <w:p>
            <w:r>
              <w:rPr>
                <w:sz w:val="15"/>
              </w:rPr>
              <w:t>No formal patient cohort.</w:t>
            </w:r>
          </w:p>
        </w:tc>
        <w:tc>
          <w:tcPr>
            <w:tcW w:type="dxa" w:w="3500"/>
            <w:vAlign w:val="top"/>
            <w:tcMar>
              <w:top w:w="70" w:type="dxa"/>
              <w:start w:w="70" w:type="dxa"/>
              <w:bottom w:w="70" w:type="dxa"/>
              <w:end w:w="70" w:type="dxa"/>
            </w:tcMar>
          </w:tcPr>
          <w:p>
            <w:pPr>
              <w:spacing w:after="0" w:before="0" w:line="240" w:lineRule="auto"/>
            </w:pPr>
            <w:r>
              <w:rPr>
                <w:rFonts w:ascii="Arial" w:hAnsi="Arial"/>
                <w:sz w:val="15"/>
              </w:rPr>
              <w:t>Described availability, suction access, and reduced tube movement as possible advantages. Pressure effects and clinical safety were not systematically evaluated.</w:t>
            </w:r>
          </w:p>
        </w:tc>
      </w:tr>
      <w:tr>
        <w:trPr>
          <w:cantSplit/>
        </w:trPr>
        <w:tc>
          <w:tcPr>
            <w:tcW w:type="dxa" w:w="650"/>
            <w:vAlign w:val="top"/>
            <w:tcMar>
              <w:top w:w="70" w:type="dxa"/>
              <w:start w:w="70" w:type="dxa"/>
              <w:bottom w:w="70" w:type="dxa"/>
              <w:end w:w="70" w:type="dxa"/>
            </w:tcMar>
          </w:tcPr>
          <w:p>
            <w:pPr>
              <w:spacing w:after="0" w:before="0" w:line="240" w:lineRule="auto"/>
            </w:pPr>
            <w:r>
              <w:rPr>
                <w:rFonts w:ascii="Arial" w:hAnsi="Arial"/>
                <w:sz w:val="15"/>
              </w:rPr>
              <w:t>36</w:t>
            </w:r>
          </w:p>
        </w:tc>
        <w:tc>
          <w:tcPr>
            <w:tcW w:type="dxa" w:w="1300"/>
            <w:vAlign w:val="top"/>
            <w:tcMar>
              <w:top w:w="70" w:type="dxa"/>
              <w:start w:w="70" w:type="dxa"/>
              <w:bottom w:w="70" w:type="dxa"/>
              <w:end w:w="70" w:type="dxa"/>
            </w:tcMar>
          </w:tcPr>
          <w:p>
            <w:pPr>
              <w:spacing w:after="0" w:before="0" w:line="240" w:lineRule="auto"/>
            </w:pPr>
            <w:r>
              <w:rPr>
                <w:rFonts w:ascii="Arial" w:hAnsi="Arial"/>
                <w:sz w:val="15"/>
              </w:rPr>
              <w:t>Vaithialingam and Arun, 2023</w:t>
            </w:r>
          </w:p>
        </w:tc>
        <w:tc>
          <w:tcPr>
            <w:tcW w:type="dxa" w:w="1900"/>
            <w:vAlign w:val="top"/>
            <w:tcMar>
              <w:top w:w="70" w:type="dxa"/>
              <w:start w:w="70" w:type="dxa"/>
              <w:bottom w:w="70" w:type="dxa"/>
              <w:end w:w="70" w:type="dxa"/>
            </w:tcMar>
          </w:tcPr>
          <w:p>
            <w:pPr>
              <w:spacing w:after="0" w:before="0" w:line="240" w:lineRule="auto"/>
            </w:pPr>
            <w:r>
              <w:rPr>
                <w:rFonts w:ascii="Arial" w:hAnsi="Arial"/>
                <w:sz w:val="15"/>
              </w:rPr>
              <w:t>Technical letter in difficult-airway care</w:t>
            </w:r>
          </w:p>
        </w:tc>
        <w:tc>
          <w:tcPr>
            <w:tcW w:type="dxa" w:w="1800"/>
            <w:vAlign w:val="top"/>
            <w:tcMar>
              <w:top w:w="70" w:type="dxa"/>
              <w:start w:w="70" w:type="dxa"/>
              <w:bottom w:w="70" w:type="dxa"/>
              <w:end w:w="70" w:type="dxa"/>
            </w:tcMar>
          </w:tcPr>
          <w:p>
            <w:r>
              <w:rPr>
                <w:sz w:val="15"/>
              </w:rPr>
              <w:t>No tracheostomy patient cohort.</w:t>
            </w:r>
          </w:p>
        </w:tc>
        <w:tc>
          <w:tcPr>
            <w:tcW w:type="dxa" w:w="3500"/>
            <w:vAlign w:val="top"/>
            <w:tcMar>
              <w:top w:w="70" w:type="dxa"/>
              <w:start w:w="70" w:type="dxa"/>
              <w:bottom w:w="70" w:type="dxa"/>
              <w:end w:w="70" w:type="dxa"/>
            </w:tcMar>
          </w:tcPr>
          <w:p>
            <w:pPr>
              <w:spacing w:after="0" w:before="0" w:line="240" w:lineRule="auto"/>
            </w:pPr>
            <w:r>
              <w:rPr>
                <w:rFonts w:ascii="Arial" w:hAnsi="Arial"/>
                <w:sz w:val="15"/>
              </w:rPr>
              <w:t>Proposed a connector-based method to maintain tracheal oxygen delivery after difficult extubation. No comparative outcomes; potential concerns include impaired exhalation and pressure generation.</w:t>
            </w:r>
          </w:p>
        </w:tc>
      </w:tr>
      <w:tr>
        <w:trPr>
          <w:cantSplit/>
        </w:trPr>
        <w:tc>
          <w:tcPr>
            <w:tcW w:type="dxa" w:w="650"/>
            <w:vAlign w:val="top"/>
            <w:tcMar>
              <w:top w:w="70" w:type="dxa"/>
              <w:start w:w="70" w:type="dxa"/>
              <w:bottom w:w="70" w:type="dxa"/>
              <w:end w:w="70" w:type="dxa"/>
            </w:tcMar>
          </w:tcPr>
          <w:p>
            <w:pPr>
              <w:spacing w:after="0" w:before="0" w:line="240" w:lineRule="auto"/>
            </w:pPr>
            <w:r>
              <w:rPr>
                <w:rFonts w:ascii="Arial" w:hAnsi="Arial"/>
                <w:sz w:val="15"/>
              </w:rPr>
              <w:t>37</w:t>
            </w:r>
          </w:p>
        </w:tc>
        <w:tc>
          <w:tcPr>
            <w:tcW w:type="dxa" w:w="1300"/>
            <w:vAlign w:val="top"/>
            <w:tcMar>
              <w:top w:w="70" w:type="dxa"/>
              <w:start w:w="70" w:type="dxa"/>
              <w:bottom w:w="70" w:type="dxa"/>
              <w:end w:w="70" w:type="dxa"/>
            </w:tcMar>
          </w:tcPr>
          <w:p>
            <w:pPr>
              <w:spacing w:after="0" w:before="0" w:line="240" w:lineRule="auto"/>
            </w:pPr>
            <w:r>
              <w:rPr>
                <w:rFonts w:ascii="Arial" w:hAnsi="Arial"/>
                <w:sz w:val="15"/>
              </w:rPr>
              <w:t>Meggs et al., 2005</w:t>
            </w:r>
          </w:p>
        </w:tc>
        <w:tc>
          <w:tcPr>
            <w:tcW w:type="dxa" w:w="1900"/>
            <w:vAlign w:val="top"/>
            <w:tcMar>
              <w:top w:w="70" w:type="dxa"/>
              <w:start w:w="70" w:type="dxa"/>
              <w:bottom w:w="70" w:type="dxa"/>
              <w:end w:w="70" w:type="dxa"/>
            </w:tcMar>
          </w:tcPr>
          <w:p>
            <w:pPr>
              <w:spacing w:after="0" w:before="0" w:line="240" w:lineRule="auto"/>
            </w:pPr>
            <w:r>
              <w:rPr>
                <w:rFonts w:ascii="Arial" w:hAnsi="Arial"/>
                <w:sz w:val="15"/>
              </w:rPr>
              <w:t>Animal brief report</w:t>
            </w:r>
          </w:p>
        </w:tc>
        <w:tc>
          <w:tcPr>
            <w:tcW w:type="dxa" w:w="1800"/>
            <w:vAlign w:val="top"/>
            <w:tcMar>
              <w:top w:w="70" w:type="dxa"/>
              <w:start w:w="70" w:type="dxa"/>
              <w:bottom w:w="70" w:type="dxa"/>
              <w:end w:w="70" w:type="dxa"/>
            </w:tcMar>
          </w:tcPr>
          <w:p>
            <w:r>
              <w:rPr>
                <w:sz w:val="15"/>
              </w:rPr>
              <w:t>Three anesthetized and paralyzed swine without spontaneous ventilation.</w:t>
            </w:r>
          </w:p>
        </w:tc>
        <w:tc>
          <w:tcPr>
            <w:tcW w:type="dxa" w:w="3500"/>
            <w:vAlign w:val="top"/>
            <w:tcMar>
              <w:top w:w="70" w:type="dxa"/>
              <w:start w:w="70" w:type="dxa"/>
              <w:bottom w:w="70" w:type="dxa"/>
              <w:end w:w="70" w:type="dxa"/>
            </w:tcMar>
          </w:tcPr>
          <w:p>
            <w:pPr>
              <w:spacing w:after="0" w:before="0" w:line="240" w:lineRule="auto"/>
            </w:pPr>
            <w:r>
              <w:rPr>
                <w:rFonts w:ascii="Arial" w:hAnsi="Arial"/>
                <w:sz w:val="15"/>
              </w:rPr>
              <w:t>Arterial oxygenation was sustained, but profound hypercapnic acidosis developed, demonstrating that oxygenation without ventilation can conceal severe carbon dioxide retention. Animal-only safety/mechanistic evidence.</w:t>
            </w:r>
          </w:p>
        </w:tc>
      </w:tr>
    </w:tbl>
    <w:p>
      <w:r>
        <w:rPr>
          <w:sz w:val="17"/>
        </w:rPr>
        <w:t>Abbreviations: HFTO, high-flow oxygen therapy delivered through tracheostomy; PEEP, positive end-expiratory pressure.</w:t>
      </w:r>
    </w:p>
    <w:sectPr>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rPr>
      <w:rFonts w:ascii="Arial" w:hAnsi="Arial"/>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generated by python-docx</dc:description>
  <cp:revision>1</cp:revision>
  <dcterms:created xsi:type="dcterms:W3CDTF">2013-12-23T23:15:00Z</dcterms:created>
  <dcterms:modified xsi:type="dcterms:W3CDTF">2013-12-23T23:15:00Z</dcterms:modified>
  <cp:category/>
</cp:coreProperties>
</file>